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AB8FF" w14:textId="77777777" w:rsidR="00403CF6" w:rsidRPr="0025320F" w:rsidRDefault="00403CF6" w:rsidP="00A16684">
      <w:pPr>
        <w:widowControl w:val="0"/>
        <w:tabs>
          <w:tab w:val="right" w:pos="360"/>
          <w:tab w:val="left" w:pos="576"/>
        </w:tabs>
        <w:jc w:val="center"/>
        <w:rPr>
          <w:b/>
          <w:sz w:val="26"/>
          <w:szCs w:val="26"/>
          <w:lang w:val="en-GB"/>
        </w:rPr>
      </w:pPr>
    </w:p>
    <w:p w14:paraId="7BA85161" w14:textId="77777777" w:rsidR="00403CF6" w:rsidRPr="0025320F" w:rsidRDefault="00403CF6" w:rsidP="00A16684">
      <w:pPr>
        <w:widowControl w:val="0"/>
        <w:tabs>
          <w:tab w:val="right" w:pos="360"/>
          <w:tab w:val="left" w:pos="576"/>
        </w:tabs>
        <w:jc w:val="center"/>
        <w:rPr>
          <w:b/>
          <w:sz w:val="26"/>
          <w:szCs w:val="26"/>
          <w:lang w:val="en-GB"/>
        </w:rPr>
      </w:pPr>
    </w:p>
    <w:p w14:paraId="5318CE01" w14:textId="77777777" w:rsidR="00403CF6" w:rsidRPr="0025320F" w:rsidRDefault="00403CF6" w:rsidP="00A16684">
      <w:pPr>
        <w:widowControl w:val="0"/>
        <w:tabs>
          <w:tab w:val="right" w:pos="360"/>
          <w:tab w:val="left" w:pos="576"/>
        </w:tabs>
        <w:jc w:val="center"/>
        <w:rPr>
          <w:b/>
          <w:sz w:val="26"/>
          <w:szCs w:val="26"/>
          <w:lang w:val="en-GB"/>
        </w:rPr>
      </w:pPr>
    </w:p>
    <w:p w14:paraId="1CE796DF" w14:textId="77777777" w:rsidR="00403CF6" w:rsidRPr="0025320F" w:rsidRDefault="00403CF6" w:rsidP="00A16684">
      <w:pPr>
        <w:widowControl w:val="0"/>
        <w:tabs>
          <w:tab w:val="right" w:pos="360"/>
          <w:tab w:val="left" w:pos="576"/>
        </w:tabs>
        <w:jc w:val="center"/>
        <w:rPr>
          <w:b/>
          <w:sz w:val="26"/>
          <w:szCs w:val="26"/>
          <w:lang w:val="en-GB"/>
        </w:rPr>
      </w:pPr>
    </w:p>
    <w:p w14:paraId="69CD2EBC" w14:textId="77777777" w:rsidR="00403CF6" w:rsidRPr="0025320F" w:rsidRDefault="00403CF6" w:rsidP="00A16684">
      <w:pPr>
        <w:widowControl w:val="0"/>
        <w:tabs>
          <w:tab w:val="right" w:pos="360"/>
          <w:tab w:val="left" w:pos="576"/>
        </w:tabs>
        <w:jc w:val="center"/>
        <w:rPr>
          <w:b/>
          <w:sz w:val="26"/>
          <w:szCs w:val="26"/>
          <w:lang w:val="en-GB"/>
        </w:rPr>
      </w:pPr>
    </w:p>
    <w:p w14:paraId="1BC67F13" w14:textId="7B93A27A" w:rsidR="003651E6" w:rsidRPr="0025320F" w:rsidRDefault="00FF5DA0" w:rsidP="00A16684">
      <w:pPr>
        <w:widowControl w:val="0"/>
        <w:tabs>
          <w:tab w:val="right" w:pos="360"/>
          <w:tab w:val="left" w:pos="576"/>
        </w:tabs>
        <w:jc w:val="center"/>
        <w:rPr>
          <w:rFonts w:eastAsia="Times New Roman"/>
          <w:b/>
          <w:iCs/>
          <w:color w:val="000000"/>
          <w:kern w:val="8"/>
          <w:sz w:val="26"/>
          <w:szCs w:val="26"/>
          <w:lang w:val="en-GB"/>
        </w:rPr>
      </w:pPr>
      <w:r w:rsidRPr="0025320F">
        <w:rPr>
          <w:b/>
          <w:sz w:val="26"/>
          <w:szCs w:val="26"/>
          <w:lang w:val="en-GB"/>
        </w:rPr>
        <w:t>Independent auditor’s report</w:t>
      </w:r>
    </w:p>
    <w:p w14:paraId="2905AEB5" w14:textId="77777777" w:rsidR="00FF5DA0" w:rsidRPr="0025320F" w:rsidRDefault="00FF5DA0" w:rsidP="00A16684">
      <w:pPr>
        <w:widowControl w:val="0"/>
        <w:rPr>
          <w:lang w:val="en-GB"/>
        </w:rPr>
      </w:pPr>
    </w:p>
    <w:p w14:paraId="5A0C0F13" w14:textId="77777777" w:rsidR="00FF5DA0" w:rsidRPr="0025320F" w:rsidRDefault="00FF5DA0" w:rsidP="00A16684">
      <w:pPr>
        <w:widowControl w:val="0"/>
        <w:rPr>
          <w:lang w:val="en-GB"/>
        </w:rPr>
      </w:pPr>
    </w:p>
    <w:p w14:paraId="07513829" w14:textId="77777777" w:rsidR="00413152" w:rsidRPr="0025320F" w:rsidRDefault="00413152" w:rsidP="00413152">
      <w:pPr>
        <w:widowControl w:val="0"/>
        <w:spacing w:before="120" w:after="120"/>
        <w:rPr>
          <w:lang w:val="en-GB"/>
        </w:rPr>
      </w:pPr>
      <w:r w:rsidRPr="0025320F">
        <w:rPr>
          <w:lang w:val="en-GB"/>
        </w:rPr>
        <w:t xml:space="preserve">To the Participant of Globallogic Ukraine Limited Liability </w:t>
      </w:r>
      <w:r w:rsidRPr="0025320F">
        <w:rPr>
          <w:kern w:val="8"/>
          <w:lang w:val="en-GB"/>
        </w:rPr>
        <w:t>Company</w:t>
      </w:r>
    </w:p>
    <w:p w14:paraId="51E43803" w14:textId="77777777" w:rsidR="00413152" w:rsidRPr="0025320F" w:rsidRDefault="00413152" w:rsidP="00413152">
      <w:pPr>
        <w:pStyle w:val="level2"/>
        <w:keepNext/>
        <w:widowControl w:val="0"/>
        <w:shd w:val="clear" w:color="auto" w:fill="FFFFFF" w:themeFill="background1"/>
        <w:tabs>
          <w:tab w:val="clear" w:pos="360"/>
          <w:tab w:val="clear" w:pos="576"/>
        </w:tabs>
        <w:spacing w:before="240" w:after="240" w:line="240" w:lineRule="auto"/>
        <w:ind w:left="0" w:firstLine="0"/>
        <w:jc w:val="left"/>
        <w:rPr>
          <w:rFonts w:ascii="EYInterstate Light" w:hAnsi="EYInterstate Light"/>
          <w:b/>
          <w:sz w:val="22"/>
          <w:szCs w:val="22"/>
          <w:lang w:val="en-GB"/>
        </w:rPr>
      </w:pPr>
      <w:r w:rsidRPr="0025320F">
        <w:rPr>
          <w:rFonts w:ascii="EYInterstate Light" w:hAnsi="EYInterstate Light"/>
          <w:b/>
          <w:sz w:val="22"/>
          <w:szCs w:val="22"/>
          <w:lang w:val="en-GB"/>
        </w:rPr>
        <w:t>Report on the audit of the financial statements</w:t>
      </w:r>
    </w:p>
    <w:p w14:paraId="3B45B0FE" w14:textId="77777777" w:rsidR="00413152" w:rsidRPr="0025320F" w:rsidRDefault="00413152" w:rsidP="00413152">
      <w:pPr>
        <w:keepNext/>
        <w:widowControl w:val="0"/>
        <w:spacing w:before="120" w:after="120"/>
        <w:rPr>
          <w:b/>
          <w:i/>
          <w:kern w:val="8"/>
          <w:lang w:val="en-GB"/>
        </w:rPr>
      </w:pPr>
      <w:r w:rsidRPr="0025320F">
        <w:rPr>
          <w:b/>
          <w:i/>
          <w:kern w:val="8"/>
          <w:lang w:val="en-GB"/>
        </w:rPr>
        <w:t>Opinion</w:t>
      </w:r>
    </w:p>
    <w:p w14:paraId="7BA3DB4F" w14:textId="7F4437D9" w:rsidR="00413152" w:rsidRPr="0025320F" w:rsidRDefault="00413152" w:rsidP="00413152">
      <w:pPr>
        <w:spacing w:before="120" w:after="120"/>
        <w:rPr>
          <w:kern w:val="8"/>
          <w:lang w:val="en-GB"/>
        </w:rPr>
      </w:pPr>
      <w:r w:rsidRPr="0025320F">
        <w:rPr>
          <w:kern w:val="8"/>
          <w:lang w:val="en-GB"/>
        </w:rPr>
        <w:t xml:space="preserve">We have audited the financial statements of </w:t>
      </w:r>
      <w:r w:rsidRPr="0025320F">
        <w:rPr>
          <w:lang w:val="en-GB"/>
        </w:rPr>
        <w:t xml:space="preserve">Globallogic Ukraine Limited Liability </w:t>
      </w:r>
      <w:r w:rsidRPr="0025320F">
        <w:rPr>
          <w:kern w:val="8"/>
          <w:lang w:val="en-GB"/>
        </w:rPr>
        <w:t xml:space="preserve">Company (the Company), which are presented on pages 1 to </w:t>
      </w:r>
      <w:r w:rsidR="000C0234">
        <w:rPr>
          <w:kern w:val="8"/>
          <w:lang w:val="en-GB"/>
        </w:rPr>
        <w:t>25</w:t>
      </w:r>
      <w:r w:rsidRPr="0025320F">
        <w:rPr>
          <w:kern w:val="8"/>
          <w:lang w:val="en-GB"/>
        </w:rPr>
        <w:t xml:space="preserve"> and comprise the statement of financial position as at 31 December 2022, and the statement of comprehensive income, statement of cash flows and statement of changes in equity for the year then ended, and notes to the financial statements, including a summary of significant accounting policies.</w:t>
      </w:r>
    </w:p>
    <w:p w14:paraId="58215A23" w14:textId="77777777" w:rsidR="00413152" w:rsidRPr="0025320F" w:rsidRDefault="00413152" w:rsidP="00413152">
      <w:pPr>
        <w:widowControl w:val="0"/>
        <w:spacing w:before="120" w:after="120"/>
        <w:rPr>
          <w:kern w:val="8"/>
          <w:lang w:val="en-GB"/>
        </w:rPr>
      </w:pPr>
      <w:r w:rsidRPr="0025320F">
        <w:rPr>
          <w:kern w:val="8"/>
          <w:lang w:val="en-GB"/>
        </w:rPr>
        <w:t>In our opinion, the accompanying financial statements present fairly, in all material respects, the financial position of the Company as at 31 December 2022 and its financial performance and its cash flows for the year then ended in accordance with International Financial Reporting Standards (IFRSs), and comply with the requirements for the preparation of financial statements established by Law of Ukraine “On accounting and financial statements in Ukraine” No. 996-XIV.</w:t>
      </w:r>
    </w:p>
    <w:p w14:paraId="52033384" w14:textId="77777777" w:rsidR="00FF5DA0" w:rsidRPr="0025320F" w:rsidRDefault="00FF5DA0" w:rsidP="00A16684">
      <w:pPr>
        <w:widowControl w:val="0"/>
        <w:rPr>
          <w:kern w:val="8"/>
          <w:lang w:val="en-GB"/>
        </w:rPr>
      </w:pPr>
    </w:p>
    <w:p w14:paraId="311DAA64" w14:textId="77777777" w:rsidR="005A4B4A" w:rsidRPr="0025320F" w:rsidRDefault="005A4B4A" w:rsidP="005A4B4A">
      <w:pPr>
        <w:keepNext/>
        <w:widowControl w:val="0"/>
        <w:spacing w:before="120" w:after="120"/>
        <w:rPr>
          <w:b/>
          <w:i/>
          <w:color w:val="000000"/>
          <w:kern w:val="8"/>
          <w:lang w:val="en-GB"/>
        </w:rPr>
      </w:pPr>
      <w:r w:rsidRPr="0025320F">
        <w:rPr>
          <w:b/>
          <w:i/>
          <w:color w:val="000000"/>
          <w:kern w:val="8"/>
          <w:lang w:val="en-GB"/>
        </w:rPr>
        <w:t>Basis for opinion</w:t>
      </w:r>
    </w:p>
    <w:p w14:paraId="5A1E7FBD" w14:textId="77777777" w:rsidR="005A4B4A" w:rsidRPr="0025320F" w:rsidRDefault="005A4B4A" w:rsidP="005A4B4A">
      <w:pPr>
        <w:widowControl w:val="0"/>
        <w:spacing w:before="120" w:after="120"/>
        <w:rPr>
          <w:kern w:val="8"/>
          <w:lang w:val="en-GB"/>
        </w:rPr>
      </w:pPr>
      <w:r w:rsidRPr="0025320F">
        <w:rPr>
          <w:kern w:val="8"/>
          <w:lang w:val="en-GB"/>
        </w:rPr>
        <w:t xml:space="preserve">We conducted our audit in accordance with International Standards on Auditing (ISAs). Our responsibilities under those standards are further described in the </w:t>
      </w:r>
      <w:r w:rsidRPr="0025320F">
        <w:rPr>
          <w:i/>
          <w:kern w:val="8"/>
          <w:lang w:val="en-GB"/>
        </w:rPr>
        <w:t xml:space="preserve">Auditor’s responsibilities for the audit of the financial statements </w:t>
      </w:r>
      <w:r w:rsidRPr="0025320F">
        <w:rPr>
          <w:kern w:val="8"/>
          <w:lang w:val="en-GB"/>
        </w:rPr>
        <w:t>section of our report. We are independent of the Company in accordance with the International Ethics Standards Board for Accountants’ Code of Ethics for Professional Accountants (including International Independence standards) (IESBA Code) together with the ethical requirements that are relevant to our audit of the financial statements in Ukraine, and we have fulfilled our other ethical responsibilities in accordance with these requirements and the IESBA Code. We believe that the audit evidence we have obtained is sufficient and appropriate to provide a basis for our opinion.</w:t>
      </w:r>
    </w:p>
    <w:p w14:paraId="661CC7A1" w14:textId="77777777" w:rsidR="00403CF6" w:rsidRPr="0025320F" w:rsidRDefault="00403CF6" w:rsidP="00403CF6">
      <w:pPr>
        <w:keepNext/>
        <w:widowControl w:val="0"/>
        <w:rPr>
          <w:b/>
          <w:i/>
          <w:color w:val="000000"/>
          <w:kern w:val="8"/>
          <w:lang w:val="en-GB"/>
        </w:rPr>
      </w:pPr>
    </w:p>
    <w:p w14:paraId="356FEC6B" w14:textId="77777777" w:rsidR="001F5868" w:rsidRPr="0025320F" w:rsidRDefault="001F5868" w:rsidP="001F5868">
      <w:pPr>
        <w:keepNext/>
        <w:widowControl w:val="0"/>
        <w:spacing w:before="120" w:after="120"/>
        <w:rPr>
          <w:b/>
          <w:i/>
          <w:color w:val="000000"/>
          <w:kern w:val="8"/>
          <w:lang w:val="en-GB"/>
        </w:rPr>
      </w:pPr>
      <w:r w:rsidRPr="0025320F">
        <w:rPr>
          <w:b/>
          <w:i/>
          <w:color w:val="000000"/>
          <w:kern w:val="8"/>
          <w:lang w:val="en-GB"/>
        </w:rPr>
        <w:t xml:space="preserve">Material Uncertainty Related to Going Concern </w:t>
      </w:r>
    </w:p>
    <w:p w14:paraId="21CDA48F" w14:textId="0D83E1BE" w:rsidR="001F5868" w:rsidRPr="0025320F" w:rsidRDefault="001F5868" w:rsidP="001F5868">
      <w:pPr>
        <w:widowControl w:val="0"/>
        <w:spacing w:before="120" w:after="120"/>
        <w:rPr>
          <w:kern w:val="8"/>
          <w:lang w:val="en-GB"/>
        </w:rPr>
      </w:pPr>
      <w:r w:rsidRPr="0025320F">
        <w:rPr>
          <w:kern w:val="8"/>
          <w:lang w:val="en-GB"/>
        </w:rPr>
        <w:t xml:space="preserve">We draw attention to Notes 2 and 3 in the financial statements, which indicate that the Company's operations have been negatively affected by the Russian Federation’s military invasion of Ukraine, with the magnitude of further developments or the timing of their cessation being uncertain. </w:t>
      </w:r>
      <w:r w:rsidR="00590A4F">
        <w:rPr>
          <w:kern w:val="8"/>
          <w:lang w:val="en-GB"/>
        </w:rPr>
        <w:t>T</w:t>
      </w:r>
      <w:r w:rsidRPr="0025320F">
        <w:rPr>
          <w:kern w:val="8"/>
          <w:lang w:val="en-GB"/>
        </w:rPr>
        <w:t>hese events, along with other matters as set forth in Note 3, indicate that a material uncertainty exists that may cast significant doubt on the Company's ability to continue as a going concern. Our opinion is not modified in respect of this matter.</w:t>
      </w:r>
    </w:p>
    <w:p w14:paraId="7E34315A" w14:textId="77777777" w:rsidR="0025320F" w:rsidRDefault="0025320F" w:rsidP="008855D6">
      <w:pPr>
        <w:keepNext/>
        <w:widowControl w:val="0"/>
        <w:tabs>
          <w:tab w:val="right" w:pos="360"/>
          <w:tab w:val="left" w:pos="576"/>
        </w:tabs>
        <w:spacing w:before="120" w:after="120"/>
        <w:rPr>
          <w:b/>
          <w:i/>
          <w:color w:val="000000"/>
          <w:kern w:val="8"/>
          <w:lang w:val="en-GB"/>
        </w:rPr>
      </w:pPr>
    </w:p>
    <w:p w14:paraId="33D24EA3" w14:textId="77777777" w:rsidR="00323287" w:rsidRPr="0025320F" w:rsidRDefault="00323287" w:rsidP="008855D6">
      <w:pPr>
        <w:keepNext/>
        <w:widowControl w:val="0"/>
        <w:tabs>
          <w:tab w:val="right" w:pos="360"/>
          <w:tab w:val="left" w:pos="576"/>
        </w:tabs>
        <w:spacing w:before="120" w:after="120"/>
        <w:rPr>
          <w:b/>
          <w:i/>
          <w:color w:val="000000"/>
          <w:kern w:val="8"/>
          <w:lang w:val="en-GB"/>
        </w:rPr>
      </w:pPr>
    </w:p>
    <w:p w14:paraId="10BADDA4" w14:textId="66A5B596" w:rsidR="008855D6" w:rsidRPr="0025320F" w:rsidRDefault="008855D6" w:rsidP="008855D6">
      <w:pPr>
        <w:keepNext/>
        <w:widowControl w:val="0"/>
        <w:tabs>
          <w:tab w:val="right" w:pos="360"/>
          <w:tab w:val="left" w:pos="576"/>
        </w:tabs>
        <w:spacing w:before="120" w:after="120"/>
        <w:rPr>
          <w:b/>
          <w:i/>
          <w:color w:val="000000"/>
          <w:kern w:val="8"/>
          <w:lang w:val="en-GB"/>
        </w:rPr>
      </w:pPr>
      <w:r w:rsidRPr="0025320F">
        <w:rPr>
          <w:b/>
          <w:i/>
          <w:color w:val="000000"/>
          <w:kern w:val="8"/>
          <w:lang w:val="en-GB"/>
        </w:rPr>
        <w:t>Key audit matters incorporating the most significant risks of material misstatements, including assessed risk of material misstatements due to fraud</w:t>
      </w:r>
    </w:p>
    <w:p w14:paraId="6BD5A0B0" w14:textId="77777777" w:rsidR="008855D6" w:rsidRPr="0025320F" w:rsidRDefault="008855D6" w:rsidP="008855D6">
      <w:pPr>
        <w:spacing w:before="120" w:after="120"/>
        <w:rPr>
          <w:kern w:val="8"/>
          <w:lang w:val="en-GB"/>
        </w:rPr>
      </w:pPr>
      <w:r w:rsidRPr="0025320F">
        <w:rPr>
          <w:kern w:val="8"/>
          <w:lang w:val="en-GB"/>
        </w:rPr>
        <w:t xml:space="preserve">Key audit matters are those matters that, in our professional judgment, were of most significance in our audit of the financial statements of the current period. </w:t>
      </w:r>
      <w:r w:rsidRPr="0025320F">
        <w:rPr>
          <w:rFonts w:cs="Arial"/>
          <w:bCs/>
          <w:lang w:val="en-GB"/>
        </w:rPr>
        <w:t xml:space="preserve">In addition to the matter described in the </w:t>
      </w:r>
      <w:r w:rsidRPr="0025320F">
        <w:rPr>
          <w:rFonts w:cs="Arial"/>
          <w:bCs/>
          <w:i/>
          <w:iCs/>
          <w:lang w:val="en-GB"/>
        </w:rPr>
        <w:t>Material Uncertainty Related to Going Concern</w:t>
      </w:r>
      <w:r w:rsidRPr="0025320F">
        <w:rPr>
          <w:rFonts w:cs="Arial"/>
          <w:bCs/>
          <w:lang w:val="en-GB"/>
        </w:rPr>
        <w:t xml:space="preserve"> section, we have determined the matters described below to be the key audit matters to be communicated in our report. </w:t>
      </w:r>
      <w:r w:rsidRPr="0025320F">
        <w:rPr>
          <w:kern w:val="8"/>
          <w:lang w:val="en-GB"/>
        </w:rPr>
        <w:t>These matters were addressed in the context of our audit of the financial statements as a whole, and in forming our opinion thereon, and we do not provide a separate opinion on these matters. For each matter below, our description of how our audit addressed the matter is provided in that context.</w:t>
      </w:r>
    </w:p>
    <w:p w14:paraId="754C9490" w14:textId="675B31E2" w:rsidR="00497D37" w:rsidRPr="0025320F" w:rsidRDefault="008A3B58" w:rsidP="00A16684">
      <w:pPr>
        <w:widowControl w:val="0"/>
        <w:rPr>
          <w:kern w:val="8"/>
          <w:lang w:val="en-GB"/>
        </w:rPr>
      </w:pPr>
      <w:r w:rsidRPr="0025320F">
        <w:rPr>
          <w:kern w:val="8"/>
          <w:lang w:val="en-GB"/>
        </w:rPr>
        <w:t>We have fulfilled the responsibilities described in the Auditor’s responsibilities for the audit of the financial statements section of our report, including in relation to these matters. Accordingly, our audit included the performance of procedures designed to respond to our assessment of the risks of material misstatement of the financial statements. The results of our audit procedures, including the procedures performed to address the matters below, provide the basis for our audit opinion on the accompanying financial statements</w:t>
      </w:r>
      <w:r w:rsidR="0059403D" w:rsidRPr="0025320F">
        <w:rPr>
          <w:kern w:val="8"/>
          <w:lang w:val="en-GB"/>
        </w:rPr>
        <w:t>.</w:t>
      </w:r>
      <w:r w:rsidR="00192A00" w:rsidRPr="0025320F">
        <w:rPr>
          <w:kern w:val="8"/>
          <w:lang w:val="en-GB"/>
        </w:rPr>
        <w:t xml:space="preserve"> </w:t>
      </w:r>
    </w:p>
    <w:p w14:paraId="15EC4363" w14:textId="77777777" w:rsidR="00336AD0" w:rsidRPr="0025320F" w:rsidRDefault="00336AD0" w:rsidP="00A16684">
      <w:pPr>
        <w:widowControl w:val="0"/>
        <w:rPr>
          <w:kern w:val="8"/>
          <w:lang w:val="en-GB"/>
        </w:rPr>
      </w:pPr>
    </w:p>
    <w:tbl>
      <w:tblPr>
        <w:tblStyle w:val="ListTable4"/>
        <w:tblW w:w="963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19"/>
        <w:gridCol w:w="4819"/>
      </w:tblGrid>
      <w:tr w:rsidR="005C4F2B" w:rsidRPr="000C0234" w14:paraId="2DDDFAF6" w14:textId="77777777" w:rsidTr="00252B6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19" w:type="dxa"/>
            <w:tcBorders>
              <w:top w:val="none" w:sz="0" w:space="0" w:color="auto"/>
              <w:left w:val="none" w:sz="0" w:space="0" w:color="auto"/>
              <w:bottom w:val="single" w:sz="6" w:space="0" w:color="auto"/>
            </w:tcBorders>
            <w:shd w:val="clear" w:color="auto" w:fill="auto"/>
          </w:tcPr>
          <w:p w14:paraId="59F426E3" w14:textId="77777777" w:rsidR="00D62E63" w:rsidRPr="0025320F" w:rsidRDefault="00D62E63" w:rsidP="005C4F2B">
            <w:pPr>
              <w:widowControl w:val="0"/>
              <w:ind w:left="-108"/>
              <w:rPr>
                <w:rFonts w:cs="Arial"/>
                <w:bCs w:val="0"/>
                <w:color w:val="auto"/>
              </w:rPr>
            </w:pPr>
            <w:r w:rsidRPr="0025320F">
              <w:rPr>
                <w:rFonts w:cs="Arial"/>
                <w:color w:val="auto"/>
              </w:rPr>
              <w:t>Key audit matter</w:t>
            </w:r>
          </w:p>
        </w:tc>
        <w:tc>
          <w:tcPr>
            <w:tcW w:w="4819" w:type="dxa"/>
            <w:tcBorders>
              <w:top w:val="none" w:sz="0" w:space="0" w:color="auto"/>
              <w:bottom w:val="single" w:sz="6" w:space="0" w:color="auto"/>
              <w:right w:val="none" w:sz="0" w:space="0" w:color="auto"/>
            </w:tcBorders>
            <w:shd w:val="clear" w:color="auto" w:fill="auto"/>
          </w:tcPr>
          <w:p w14:paraId="0684C09D" w14:textId="77777777" w:rsidR="00D62E63" w:rsidRPr="0025320F" w:rsidRDefault="00D62E63" w:rsidP="005C4F2B">
            <w:pPr>
              <w:widowControl w:val="0"/>
              <w:ind w:left="-108"/>
              <w:cnfStyle w:val="100000000000" w:firstRow="1" w:lastRow="0" w:firstColumn="0" w:lastColumn="0" w:oddVBand="0" w:evenVBand="0" w:oddHBand="0" w:evenHBand="0" w:firstRowFirstColumn="0" w:firstRowLastColumn="0" w:lastRowFirstColumn="0" w:lastRowLastColumn="0"/>
              <w:rPr>
                <w:rFonts w:cs="Arial"/>
                <w:bCs w:val="0"/>
                <w:color w:val="auto"/>
              </w:rPr>
            </w:pPr>
            <w:r w:rsidRPr="0025320F">
              <w:rPr>
                <w:rFonts w:cs="Arial"/>
                <w:color w:val="auto"/>
              </w:rPr>
              <w:t>How our audit addressed the key audit matter</w:t>
            </w:r>
          </w:p>
        </w:tc>
      </w:tr>
      <w:tr w:rsidR="00BB2CC0" w:rsidRPr="000C0234" w14:paraId="47747013" w14:textId="77777777" w:rsidTr="00252B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38" w:type="dxa"/>
            <w:gridSpan w:val="2"/>
            <w:tcBorders>
              <w:top w:val="single" w:sz="6" w:space="0" w:color="auto"/>
            </w:tcBorders>
            <w:shd w:val="clear" w:color="auto" w:fill="auto"/>
          </w:tcPr>
          <w:p w14:paraId="37F1847D" w14:textId="3759E732" w:rsidR="00DD64CC" w:rsidRPr="0025320F" w:rsidRDefault="005B0339" w:rsidP="005C4F2B">
            <w:pPr>
              <w:widowControl w:val="0"/>
              <w:spacing w:before="120"/>
              <w:ind w:left="-108"/>
              <w:rPr>
                <w:rFonts w:cs="Arial"/>
                <w:b w:val="0"/>
                <w:bCs w:val="0"/>
              </w:rPr>
            </w:pPr>
            <w:r w:rsidRPr="0025320F">
              <w:rPr>
                <w:lang w:val="en-US"/>
              </w:rPr>
              <w:t>A</w:t>
            </w:r>
            <w:r w:rsidR="00875F85" w:rsidRPr="0025320F">
              <w:rPr>
                <w:lang w:val="uk-UA"/>
              </w:rPr>
              <w:t>llowance for expected credit loss</w:t>
            </w:r>
          </w:p>
        </w:tc>
      </w:tr>
      <w:tr w:rsidR="008D1551" w:rsidRPr="000C0234" w14:paraId="4B32DE76" w14:textId="77777777" w:rsidTr="005C4F2B">
        <w:trPr>
          <w:trHeight w:val="20"/>
        </w:trPr>
        <w:tc>
          <w:tcPr>
            <w:cnfStyle w:val="001000000000" w:firstRow="0" w:lastRow="0" w:firstColumn="1" w:lastColumn="0" w:oddVBand="0" w:evenVBand="0" w:oddHBand="0" w:evenHBand="0" w:firstRowFirstColumn="0" w:firstRowLastColumn="0" w:lastRowFirstColumn="0" w:lastRowLastColumn="0"/>
            <w:tcW w:w="4819" w:type="dxa"/>
            <w:shd w:val="clear" w:color="auto" w:fill="auto"/>
          </w:tcPr>
          <w:p w14:paraId="2ACE1DC3" w14:textId="77777777" w:rsidR="00376882" w:rsidRPr="0025320F" w:rsidRDefault="00376882" w:rsidP="00376882">
            <w:pPr>
              <w:spacing w:before="120" w:after="120"/>
              <w:ind w:left="-102"/>
              <w:rPr>
                <w:rFonts w:eastAsia="Arial" w:cs="Arial"/>
                <w:b w:val="0"/>
                <w:spacing w:val="-2"/>
                <w:lang w:val="en-US"/>
              </w:rPr>
            </w:pPr>
            <w:r w:rsidRPr="0025320F">
              <w:rPr>
                <w:rFonts w:eastAsia="Arial" w:cs="Arial"/>
                <w:b w:val="0"/>
                <w:spacing w:val="-2"/>
                <w:lang w:val="en-US"/>
              </w:rPr>
              <w:t xml:space="preserve">The total carrying value of the Company’s trade accounts receivable for goods and services as at 31 December 2022 was UAH 2,961,084 thousand, which constitutes 84% of the total assets. </w:t>
            </w:r>
          </w:p>
          <w:p w14:paraId="4058899F" w14:textId="77777777" w:rsidR="00376882" w:rsidRPr="0025320F" w:rsidRDefault="00376882" w:rsidP="00376882">
            <w:pPr>
              <w:spacing w:before="120" w:after="120"/>
              <w:ind w:left="-102"/>
              <w:rPr>
                <w:rFonts w:eastAsia="Arial" w:cs="Arial"/>
                <w:b w:val="0"/>
                <w:spacing w:val="-2"/>
                <w:lang w:val="en-US"/>
              </w:rPr>
            </w:pPr>
            <w:r w:rsidRPr="0025320F">
              <w:rPr>
                <w:rFonts w:eastAsia="Arial" w:cs="Arial"/>
                <w:b w:val="0"/>
                <w:spacing w:val="-2"/>
                <w:lang w:val="en-US"/>
              </w:rPr>
              <w:t xml:space="preserve">Allowance for expected credit losses is subject to significant management judgement. </w:t>
            </w:r>
          </w:p>
          <w:p w14:paraId="1FA48170" w14:textId="77777777" w:rsidR="00376882" w:rsidRPr="0025320F" w:rsidRDefault="00376882" w:rsidP="00376882">
            <w:pPr>
              <w:spacing w:before="120" w:after="120"/>
              <w:ind w:left="-102"/>
              <w:rPr>
                <w:rFonts w:eastAsia="Arial" w:cs="Arial"/>
                <w:b w:val="0"/>
                <w:spacing w:val="-2"/>
                <w:lang w:val="en-US"/>
              </w:rPr>
            </w:pPr>
            <w:r w:rsidRPr="0025320F">
              <w:rPr>
                <w:rFonts w:eastAsia="Arial" w:cs="Arial"/>
                <w:b w:val="0"/>
                <w:spacing w:val="-2"/>
                <w:lang w:val="en-US"/>
              </w:rPr>
              <w:t xml:space="preserve">The estimation of an allowance for expected credit losses requires making certain assumptions and analysis of different factors, including financial condition of the counterparty and expected future cash flows. </w:t>
            </w:r>
          </w:p>
          <w:p w14:paraId="05067604" w14:textId="77777777" w:rsidR="00376882" w:rsidRPr="0025320F" w:rsidRDefault="00376882" w:rsidP="00376882">
            <w:pPr>
              <w:spacing w:before="120" w:after="120"/>
              <w:ind w:left="-102"/>
              <w:rPr>
                <w:rFonts w:eastAsia="Arial" w:cs="Arial"/>
                <w:b w:val="0"/>
                <w:spacing w:val="-2"/>
                <w:lang w:val="en-US"/>
              </w:rPr>
            </w:pPr>
            <w:r w:rsidRPr="0025320F">
              <w:rPr>
                <w:rFonts w:eastAsia="Arial" w:cs="Arial"/>
                <w:b w:val="0"/>
                <w:spacing w:val="-2"/>
                <w:lang w:val="en-US"/>
              </w:rPr>
              <w:t>As a result, we considered the allowance for expected credit losses to be one of the matters of most significance in the audit.</w:t>
            </w:r>
          </w:p>
          <w:p w14:paraId="1C5234B1" w14:textId="63EA2023" w:rsidR="00D62E63" w:rsidRPr="0025320F" w:rsidRDefault="00376882" w:rsidP="00376882">
            <w:pPr>
              <w:widowControl w:val="0"/>
              <w:spacing w:before="120"/>
              <w:ind w:left="-108"/>
              <w:rPr>
                <w:rFonts w:cs="Arial"/>
                <w:b w:val="0"/>
                <w:bCs w:val="0"/>
                <w:color w:val="0070C0"/>
                <w:lang w:val="en-US"/>
              </w:rPr>
            </w:pPr>
            <w:r w:rsidRPr="0025320F">
              <w:rPr>
                <w:rFonts w:eastAsia="Arial" w:cs="Arial"/>
                <w:b w:val="0"/>
                <w:spacing w:val="-2"/>
                <w:lang w:val="en-US"/>
              </w:rPr>
              <w:t>Information on trade accounts receivable is disclosed in Note 8 to the financial statements.</w:t>
            </w:r>
            <w:r w:rsidR="00875F85" w:rsidRPr="0025320F">
              <w:rPr>
                <w:rFonts w:eastAsia="Arial" w:cs="Arial"/>
                <w:b w:val="0"/>
                <w:spacing w:val="-2"/>
                <w:lang w:val="en-US"/>
              </w:rPr>
              <w:t>.</w:t>
            </w:r>
          </w:p>
        </w:tc>
        <w:tc>
          <w:tcPr>
            <w:tcW w:w="4819" w:type="dxa"/>
            <w:shd w:val="clear" w:color="auto" w:fill="auto"/>
          </w:tcPr>
          <w:p w14:paraId="7CFBB514" w14:textId="77777777" w:rsidR="00581482" w:rsidRPr="0025320F" w:rsidRDefault="00581482" w:rsidP="00581482">
            <w:pPr>
              <w:spacing w:before="120" w:after="120"/>
              <w:cnfStyle w:val="000000000000" w:firstRow="0" w:lastRow="0" w:firstColumn="0" w:lastColumn="0" w:oddVBand="0" w:evenVBand="0" w:oddHBand="0" w:evenHBand="0" w:firstRowFirstColumn="0" w:firstRowLastColumn="0" w:lastRowFirstColumn="0" w:lastRowLastColumn="0"/>
              <w:rPr>
                <w:rFonts w:eastAsia="Arial" w:cs="Arial"/>
                <w:spacing w:val="-2"/>
                <w:lang w:val="en-US"/>
              </w:rPr>
            </w:pPr>
            <w:r w:rsidRPr="0025320F">
              <w:rPr>
                <w:rFonts w:eastAsia="Arial" w:cs="Arial"/>
                <w:spacing w:val="-2"/>
                <w:lang w:val="en-US"/>
              </w:rPr>
              <w:t>Our audit procedures included consideration of the methodology used by the Company in estimation of allowance for expected credit losses as at 31 December 2022.</w:t>
            </w:r>
          </w:p>
          <w:p w14:paraId="5F5ECA48" w14:textId="77777777" w:rsidR="00581482" w:rsidRPr="0025320F" w:rsidRDefault="00581482" w:rsidP="00581482">
            <w:pPr>
              <w:spacing w:before="120" w:after="120"/>
              <w:cnfStyle w:val="000000000000" w:firstRow="0" w:lastRow="0" w:firstColumn="0" w:lastColumn="0" w:oddVBand="0" w:evenVBand="0" w:oddHBand="0" w:evenHBand="0" w:firstRowFirstColumn="0" w:firstRowLastColumn="0" w:lastRowFirstColumn="0" w:lastRowLastColumn="0"/>
              <w:rPr>
                <w:rFonts w:eastAsia="Arial" w:cs="Arial"/>
                <w:spacing w:val="-2"/>
                <w:lang w:val="en-US"/>
              </w:rPr>
            </w:pPr>
            <w:r w:rsidRPr="0025320F">
              <w:rPr>
                <w:rFonts w:eastAsia="Arial" w:cs="Arial"/>
                <w:spacing w:val="-2"/>
                <w:lang w:val="en-US"/>
              </w:rPr>
              <w:t>We compared the input data used by the Company for trade accounts receivable in the provision matrix with:</w:t>
            </w:r>
          </w:p>
          <w:p w14:paraId="52831C79" w14:textId="133A5DE6" w:rsidR="00581482" w:rsidRPr="0025320F" w:rsidRDefault="00943579" w:rsidP="00943579">
            <w:pPr>
              <w:pStyle w:val="ListParagraph"/>
              <w:numPr>
                <w:ilvl w:val="0"/>
                <w:numId w:val="15"/>
              </w:numPr>
              <w:spacing w:before="120" w:after="120"/>
              <w:ind w:left="289" w:hanging="289"/>
              <w:cnfStyle w:val="000000000000" w:firstRow="0" w:lastRow="0" w:firstColumn="0" w:lastColumn="0" w:oddVBand="0" w:evenVBand="0" w:oddHBand="0" w:evenHBand="0" w:firstRowFirstColumn="0" w:firstRowLastColumn="0" w:lastRowFirstColumn="0" w:lastRowLastColumn="0"/>
              <w:rPr>
                <w:rFonts w:eastAsia="Arial" w:cs="Arial"/>
                <w:spacing w:val="-2"/>
                <w:lang w:val="en-US"/>
              </w:rPr>
            </w:pPr>
            <w:r w:rsidRPr="0025320F">
              <w:rPr>
                <w:rFonts w:eastAsia="Arial" w:cs="Arial"/>
                <w:spacing w:val="-2"/>
                <w:lang w:val="en-AS"/>
              </w:rPr>
              <w:t>t</w:t>
            </w:r>
            <w:r w:rsidR="00581482" w:rsidRPr="0025320F">
              <w:rPr>
                <w:rFonts w:eastAsia="Arial" w:cs="Arial"/>
                <w:spacing w:val="-2"/>
                <w:lang w:val="en-US"/>
              </w:rPr>
              <w:t xml:space="preserve">he Company’s historical credit loss experience, and </w:t>
            </w:r>
          </w:p>
          <w:p w14:paraId="0AE83284" w14:textId="77777777" w:rsidR="00581482" w:rsidRPr="0025320F" w:rsidRDefault="00581482" w:rsidP="00943579">
            <w:pPr>
              <w:pStyle w:val="ListParagraph"/>
              <w:numPr>
                <w:ilvl w:val="0"/>
                <w:numId w:val="15"/>
              </w:numPr>
              <w:spacing w:before="120" w:after="120"/>
              <w:ind w:left="289" w:hanging="289"/>
              <w:cnfStyle w:val="000000000000" w:firstRow="0" w:lastRow="0" w:firstColumn="0" w:lastColumn="0" w:oddVBand="0" w:evenVBand="0" w:oddHBand="0" w:evenHBand="0" w:firstRowFirstColumn="0" w:firstRowLastColumn="0" w:lastRowFirstColumn="0" w:lastRowLastColumn="0"/>
              <w:rPr>
                <w:rFonts w:eastAsia="Arial" w:cs="Arial"/>
                <w:spacing w:val="-2"/>
                <w:lang w:val="en-US"/>
              </w:rPr>
            </w:pPr>
            <w:r w:rsidRPr="0025320F">
              <w:rPr>
                <w:rFonts w:eastAsia="Arial" w:cs="Arial"/>
                <w:spacing w:val="-2"/>
                <w:lang w:val="en-US"/>
              </w:rPr>
              <w:t xml:space="preserve">available forward-looking information. </w:t>
            </w:r>
          </w:p>
          <w:p w14:paraId="08E69C4B" w14:textId="77777777" w:rsidR="00581482" w:rsidRPr="0025320F" w:rsidRDefault="00581482" w:rsidP="00581482">
            <w:pPr>
              <w:spacing w:before="120" w:after="120"/>
              <w:cnfStyle w:val="000000000000" w:firstRow="0" w:lastRow="0" w:firstColumn="0" w:lastColumn="0" w:oddVBand="0" w:evenVBand="0" w:oddHBand="0" w:evenHBand="0" w:firstRowFirstColumn="0" w:firstRowLastColumn="0" w:lastRowFirstColumn="0" w:lastRowLastColumn="0"/>
              <w:rPr>
                <w:rFonts w:eastAsia="Arial" w:cs="Arial"/>
                <w:spacing w:val="-2"/>
                <w:lang w:val="en-US"/>
              </w:rPr>
            </w:pPr>
            <w:r w:rsidRPr="0025320F">
              <w:rPr>
                <w:rFonts w:eastAsia="Arial" w:cs="Arial"/>
                <w:spacing w:val="-2"/>
                <w:lang w:val="en-US"/>
              </w:rPr>
              <w:t>We have analysed the ageing structure of trade accounts receivable and subsequent cash receipts from the counterparties.</w:t>
            </w:r>
          </w:p>
          <w:p w14:paraId="4D6C34D0" w14:textId="12068E6A" w:rsidR="00D62E63" w:rsidRPr="0025320F" w:rsidRDefault="00581482" w:rsidP="00581482">
            <w:pPr>
              <w:widowControl w:val="0"/>
              <w:spacing w:before="120"/>
              <w:cnfStyle w:val="000000000000" w:firstRow="0" w:lastRow="0" w:firstColumn="0" w:lastColumn="0" w:oddVBand="0" w:evenVBand="0" w:oddHBand="0" w:evenHBand="0" w:firstRowFirstColumn="0" w:firstRowLastColumn="0" w:lastRowFirstColumn="0" w:lastRowLastColumn="0"/>
              <w:rPr>
                <w:rFonts w:cs="Arial"/>
                <w:bCs/>
                <w:color w:val="0070C0"/>
              </w:rPr>
            </w:pPr>
            <w:r w:rsidRPr="0025320F">
              <w:rPr>
                <w:rFonts w:eastAsia="Arial" w:cs="Arial"/>
                <w:spacing w:val="-2"/>
                <w:lang w:val="en-US"/>
              </w:rPr>
              <w:t>We have also analysed the information on allowance for expected credit losses disclosed in the notes to the financial statements</w:t>
            </w:r>
            <w:r w:rsidR="00875F85" w:rsidRPr="0025320F">
              <w:rPr>
                <w:rFonts w:eastAsia="Arial" w:cs="Arial"/>
                <w:spacing w:val="-2"/>
                <w:lang w:val="en-US"/>
              </w:rPr>
              <w:t>.</w:t>
            </w:r>
          </w:p>
        </w:tc>
      </w:tr>
      <w:tr w:rsidR="00BC23D3" w:rsidRPr="000C0234" w14:paraId="39CF75B5" w14:textId="77777777" w:rsidTr="00067A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38" w:type="dxa"/>
            <w:gridSpan w:val="2"/>
            <w:shd w:val="clear" w:color="auto" w:fill="auto"/>
          </w:tcPr>
          <w:p w14:paraId="798D38F8" w14:textId="77777777" w:rsidR="00DD64CC" w:rsidRPr="0025320F" w:rsidRDefault="00D2681E" w:rsidP="008D02BC">
            <w:pPr>
              <w:widowControl w:val="0"/>
              <w:spacing w:before="120"/>
              <w:ind w:left="-108"/>
              <w:rPr>
                <w:rFonts w:cs="Arial"/>
                <w:b w:val="0"/>
                <w:bCs w:val="0"/>
              </w:rPr>
            </w:pPr>
            <w:r w:rsidRPr="0025320F">
              <w:rPr>
                <w:rFonts w:cs="Arial"/>
              </w:rPr>
              <w:t>Procurement of services from IT engineers</w:t>
            </w:r>
          </w:p>
        </w:tc>
      </w:tr>
      <w:tr w:rsidR="00BC23D3" w:rsidRPr="000C0234" w14:paraId="2E00B51C" w14:textId="77777777" w:rsidTr="005C4F2B">
        <w:trPr>
          <w:trHeight w:val="20"/>
        </w:trPr>
        <w:tc>
          <w:tcPr>
            <w:cnfStyle w:val="001000000000" w:firstRow="0" w:lastRow="0" w:firstColumn="1" w:lastColumn="0" w:oddVBand="0" w:evenVBand="0" w:oddHBand="0" w:evenHBand="0" w:firstRowFirstColumn="0" w:firstRowLastColumn="0" w:lastRowFirstColumn="0" w:lastRowLastColumn="0"/>
            <w:tcW w:w="4819" w:type="dxa"/>
            <w:shd w:val="clear" w:color="auto" w:fill="auto"/>
          </w:tcPr>
          <w:p w14:paraId="589B7EC7" w14:textId="5353CCC6" w:rsidR="00BD7FA3" w:rsidRPr="0025320F" w:rsidRDefault="00BD7FA3" w:rsidP="00BD7FA3">
            <w:pPr>
              <w:widowControl w:val="0"/>
              <w:spacing w:before="120"/>
              <w:ind w:left="-108"/>
              <w:rPr>
                <w:rFonts w:cs="Arial"/>
                <w:b w:val="0"/>
                <w:lang w:val="en-US"/>
              </w:rPr>
            </w:pPr>
            <w:r w:rsidRPr="0025320F">
              <w:rPr>
                <w:rFonts w:cs="Arial"/>
                <w:b w:val="0"/>
                <w:lang w:val="en-US"/>
              </w:rPr>
              <w:t>Total cost of services procured by the Company from IT engineers amounted to UAH</w:t>
            </w:r>
            <w:r w:rsidR="00970C3E">
              <w:rPr>
                <w:rFonts w:cs="Arial"/>
                <w:b w:val="0"/>
                <w:lang w:val="en-US"/>
              </w:rPr>
              <w:t> </w:t>
            </w:r>
            <w:r w:rsidRPr="0025320F">
              <w:rPr>
                <w:rFonts w:cs="Arial"/>
                <w:b w:val="0"/>
                <w:lang w:val="en-US"/>
              </w:rPr>
              <w:t>8,889,867 thousand in 2022, which represents 88% of the reported cost of sales.</w:t>
            </w:r>
          </w:p>
          <w:p w14:paraId="605B804B" w14:textId="77777777" w:rsidR="00BD7FA3" w:rsidRPr="0025320F" w:rsidRDefault="00BD7FA3" w:rsidP="00BD7FA3">
            <w:pPr>
              <w:widowControl w:val="0"/>
              <w:spacing w:before="120"/>
              <w:ind w:left="-108"/>
              <w:rPr>
                <w:rFonts w:cs="Arial"/>
                <w:b w:val="0"/>
                <w:lang w:val="en-US"/>
              </w:rPr>
            </w:pPr>
            <w:r w:rsidRPr="0025320F">
              <w:rPr>
                <w:rFonts w:cs="Arial"/>
                <w:b w:val="0"/>
                <w:lang w:val="en-US"/>
              </w:rPr>
              <w:t xml:space="preserve">Because of the significance of the amounts involved and possible impact on revenues </w:t>
            </w:r>
            <w:r w:rsidRPr="0025320F">
              <w:rPr>
                <w:rFonts w:cs="Arial"/>
                <w:b w:val="0"/>
                <w:lang w:val="en-US"/>
              </w:rPr>
              <w:lastRenderedPageBreak/>
              <w:t xml:space="preserve">recognized under cost-plus arrangements, timely and accurate recognition of services rendered by IT engineers was determined to be one of the matters of most significance in the audit. </w:t>
            </w:r>
          </w:p>
          <w:p w14:paraId="4DDBEEE9" w14:textId="31559B95" w:rsidR="00EF02FA" w:rsidRPr="0025320F" w:rsidRDefault="00BD7FA3" w:rsidP="00BD7FA3">
            <w:pPr>
              <w:widowControl w:val="0"/>
              <w:spacing w:before="120"/>
              <w:ind w:left="-108"/>
              <w:rPr>
                <w:rFonts w:cs="Arial"/>
                <w:b w:val="0"/>
                <w:highlight w:val="yellow"/>
                <w:lang w:val="en-US"/>
              </w:rPr>
            </w:pPr>
            <w:r w:rsidRPr="0025320F">
              <w:rPr>
                <w:rFonts w:cs="Arial"/>
                <w:b w:val="0"/>
                <w:lang w:val="en-US"/>
              </w:rPr>
              <w:t>Information on services procured from IT engineers is disclosed in Note 16 to the financial statements</w:t>
            </w:r>
            <w:r w:rsidR="00EF02FA" w:rsidRPr="0025320F">
              <w:rPr>
                <w:rFonts w:eastAsia="Arial" w:cs="Arial"/>
                <w:b w:val="0"/>
                <w:spacing w:val="-2"/>
                <w:lang w:val="en-US"/>
              </w:rPr>
              <w:t>.</w:t>
            </w:r>
            <w:r w:rsidR="008D4238" w:rsidRPr="0025320F">
              <w:rPr>
                <w:rFonts w:eastAsia="Arial" w:cs="Arial"/>
                <w:spacing w:val="-2"/>
                <w:lang w:val="en-US"/>
              </w:rPr>
              <w:t xml:space="preserve"> </w:t>
            </w:r>
          </w:p>
        </w:tc>
        <w:tc>
          <w:tcPr>
            <w:tcW w:w="4819" w:type="dxa"/>
            <w:shd w:val="clear" w:color="auto" w:fill="auto"/>
          </w:tcPr>
          <w:p w14:paraId="63A03362" w14:textId="77777777" w:rsidR="00714FE5" w:rsidRPr="0025320F" w:rsidRDefault="00714FE5" w:rsidP="00714FE5">
            <w:pPr>
              <w:widowControl w:val="0"/>
              <w:spacing w:before="120" w:after="120"/>
              <w:cnfStyle w:val="000000000000" w:firstRow="0" w:lastRow="0" w:firstColumn="0" w:lastColumn="0" w:oddVBand="0" w:evenVBand="0" w:oddHBand="0" w:evenHBand="0" w:firstRowFirstColumn="0" w:firstRowLastColumn="0" w:lastRowFirstColumn="0" w:lastRowLastColumn="0"/>
              <w:rPr>
                <w:rFonts w:cs="Arial"/>
                <w:bCs/>
              </w:rPr>
            </w:pPr>
            <w:r w:rsidRPr="0025320F">
              <w:rPr>
                <w:rFonts w:cs="Arial"/>
                <w:bCs/>
              </w:rPr>
              <w:lastRenderedPageBreak/>
              <w:t xml:space="preserve">Our audit procedures with respect to procurement of services from </w:t>
            </w:r>
            <w:r w:rsidRPr="0025320F">
              <w:rPr>
                <w:rFonts w:eastAsia="Arial" w:cs="Arial"/>
                <w:spacing w:val="-2"/>
              </w:rPr>
              <w:t xml:space="preserve">IT engineers </w:t>
            </w:r>
            <w:r w:rsidRPr="0025320F">
              <w:rPr>
                <w:rFonts w:cs="Arial"/>
                <w:bCs/>
              </w:rPr>
              <w:t>included, among others, the following:</w:t>
            </w:r>
          </w:p>
          <w:p w14:paraId="13E03349" w14:textId="77777777" w:rsidR="00714FE5" w:rsidRPr="0025320F" w:rsidRDefault="00714FE5" w:rsidP="00714FE5">
            <w:pPr>
              <w:pStyle w:val="ListParagraph"/>
              <w:widowControl w:val="0"/>
              <w:numPr>
                <w:ilvl w:val="0"/>
                <w:numId w:val="16"/>
              </w:numPr>
              <w:spacing w:before="120" w:after="120"/>
              <w:ind w:left="284" w:hanging="284"/>
              <w:cnfStyle w:val="000000000000" w:firstRow="0" w:lastRow="0" w:firstColumn="0" w:lastColumn="0" w:oddVBand="0" w:evenVBand="0" w:oddHBand="0" w:evenHBand="0" w:firstRowFirstColumn="0" w:firstRowLastColumn="0" w:lastRowFirstColumn="0" w:lastRowLastColumn="0"/>
              <w:rPr>
                <w:rFonts w:cs="Arial"/>
                <w:bCs/>
              </w:rPr>
            </w:pPr>
            <w:r w:rsidRPr="0025320F">
              <w:rPr>
                <w:rFonts w:cs="Arial"/>
                <w:bCs/>
              </w:rPr>
              <w:t xml:space="preserve">we assessed the process of recognition of cost of </w:t>
            </w:r>
            <w:r w:rsidRPr="0025320F">
              <w:rPr>
                <w:rFonts w:cs="Arial"/>
              </w:rPr>
              <w:t xml:space="preserve">services purchased from IT engineers </w:t>
            </w:r>
            <w:r w:rsidRPr="0025320F">
              <w:rPr>
                <w:rFonts w:cs="Arial"/>
                <w:bCs/>
              </w:rPr>
              <w:t xml:space="preserve">and tested controls relevant to </w:t>
            </w:r>
            <w:r w:rsidRPr="0025320F">
              <w:rPr>
                <w:rFonts w:cs="Arial"/>
                <w:bCs/>
              </w:rPr>
              <w:lastRenderedPageBreak/>
              <w:t xml:space="preserve">purchases and cost of sales recognition including such under </w:t>
            </w:r>
            <w:r w:rsidRPr="0025320F">
              <w:rPr>
                <w:rFonts w:cs="Arial"/>
              </w:rPr>
              <w:t>cost-plus arrangements</w:t>
            </w:r>
            <w:r w:rsidRPr="0025320F">
              <w:rPr>
                <w:rFonts w:cs="Arial"/>
                <w:bCs/>
              </w:rPr>
              <w:t>;</w:t>
            </w:r>
          </w:p>
          <w:p w14:paraId="1B1C3497" w14:textId="77777777" w:rsidR="00714FE5" w:rsidRPr="0025320F" w:rsidRDefault="00714FE5" w:rsidP="00714FE5">
            <w:pPr>
              <w:pStyle w:val="ListParagraph"/>
              <w:widowControl w:val="0"/>
              <w:numPr>
                <w:ilvl w:val="0"/>
                <w:numId w:val="16"/>
              </w:numPr>
              <w:spacing w:before="120" w:after="120"/>
              <w:ind w:left="284" w:hanging="284"/>
              <w:cnfStyle w:val="000000000000" w:firstRow="0" w:lastRow="0" w:firstColumn="0" w:lastColumn="0" w:oddVBand="0" w:evenVBand="0" w:oddHBand="0" w:evenHBand="0" w:firstRowFirstColumn="0" w:firstRowLastColumn="0" w:lastRowFirstColumn="0" w:lastRowLastColumn="0"/>
              <w:rPr>
                <w:rFonts w:cs="Arial"/>
                <w:bCs/>
              </w:rPr>
            </w:pPr>
            <w:r w:rsidRPr="0025320F">
              <w:rPr>
                <w:rFonts w:cs="Arial"/>
                <w:bCs/>
              </w:rPr>
              <w:t>we tested the purchases recorded near the year-end and compared the date in supporting documents to the date when related cost was recorded;</w:t>
            </w:r>
          </w:p>
          <w:p w14:paraId="2BF696B7" w14:textId="241A39C2" w:rsidR="00BC23D3" w:rsidRPr="0025320F" w:rsidRDefault="00714FE5" w:rsidP="00714FE5">
            <w:pPr>
              <w:widowControl w:val="0"/>
              <w:spacing w:before="120"/>
              <w:ind w:left="-108"/>
              <w:cnfStyle w:val="000000000000" w:firstRow="0" w:lastRow="0" w:firstColumn="0" w:lastColumn="0" w:oddVBand="0" w:evenVBand="0" w:oddHBand="0" w:evenHBand="0" w:firstRowFirstColumn="0" w:firstRowLastColumn="0" w:lastRowFirstColumn="0" w:lastRowLastColumn="0"/>
              <w:rPr>
                <w:rFonts w:cs="Arial"/>
                <w:bCs/>
                <w:lang w:val="en-US"/>
              </w:rPr>
            </w:pPr>
            <w:r w:rsidRPr="0025320F">
              <w:rPr>
                <w:rFonts w:cs="Arial"/>
                <w:bCs/>
              </w:rPr>
              <w:t>we analysed average payments per IT engineer throughout the year and correlation of total payments and number of engaged IT engineers</w:t>
            </w:r>
            <w:r w:rsidR="00336AD0" w:rsidRPr="0025320F">
              <w:rPr>
                <w:rFonts w:cs="Arial"/>
                <w:bCs/>
                <w:lang w:val="en-US"/>
              </w:rPr>
              <w:t xml:space="preserve">. </w:t>
            </w:r>
          </w:p>
        </w:tc>
      </w:tr>
    </w:tbl>
    <w:p w14:paraId="0EC2C0B9" w14:textId="77777777" w:rsidR="0025320F" w:rsidRPr="0025320F" w:rsidRDefault="0025320F" w:rsidP="00875F85">
      <w:pPr>
        <w:widowControl w:val="0"/>
        <w:rPr>
          <w:b/>
          <w:i/>
          <w:kern w:val="8"/>
          <w:lang w:val="en-GB"/>
        </w:rPr>
      </w:pPr>
    </w:p>
    <w:p w14:paraId="24656C25" w14:textId="33563F2F" w:rsidR="00565B41" w:rsidRPr="0025320F" w:rsidRDefault="001C5949" w:rsidP="00875F85">
      <w:pPr>
        <w:widowControl w:val="0"/>
        <w:rPr>
          <w:b/>
          <w:i/>
          <w:kern w:val="8"/>
          <w:lang w:val="en-GB"/>
        </w:rPr>
      </w:pPr>
      <w:r w:rsidRPr="0025320F">
        <w:rPr>
          <w:b/>
          <w:i/>
          <w:kern w:val="8"/>
          <w:lang w:val="en-GB"/>
        </w:rPr>
        <w:t xml:space="preserve">Other </w:t>
      </w:r>
      <w:r w:rsidR="004F4F0D" w:rsidRPr="0025320F">
        <w:rPr>
          <w:b/>
          <w:i/>
          <w:kern w:val="8"/>
          <w:lang w:val="en-GB"/>
        </w:rPr>
        <w:t xml:space="preserve">information </w:t>
      </w:r>
      <w:r w:rsidR="0044324B" w:rsidRPr="0025320F">
        <w:rPr>
          <w:b/>
          <w:i/>
          <w:kern w:val="8"/>
          <w:lang w:val="en-GB"/>
        </w:rPr>
        <w:t>included in</w:t>
      </w:r>
      <w:r w:rsidR="009A4DF9" w:rsidRPr="0025320F">
        <w:rPr>
          <w:b/>
          <w:i/>
          <w:kern w:val="8"/>
          <w:lang w:val="en-GB"/>
        </w:rPr>
        <w:t xml:space="preserve"> the Company’s</w:t>
      </w:r>
      <w:r w:rsidR="00744B08" w:rsidRPr="0025320F">
        <w:rPr>
          <w:b/>
          <w:i/>
          <w:kern w:val="8"/>
          <w:lang w:val="en-GB"/>
        </w:rPr>
        <w:t xml:space="preserve"> Management Report</w:t>
      </w:r>
      <w:r w:rsidR="009A4DF9" w:rsidRPr="0025320F">
        <w:rPr>
          <w:b/>
          <w:i/>
          <w:kern w:val="8"/>
          <w:lang w:val="en-GB"/>
        </w:rPr>
        <w:t xml:space="preserve"> </w:t>
      </w:r>
      <w:r w:rsidR="00744B08" w:rsidRPr="0025320F">
        <w:rPr>
          <w:b/>
          <w:i/>
          <w:kern w:val="8"/>
          <w:lang w:val="en-GB"/>
        </w:rPr>
        <w:t>for</w:t>
      </w:r>
      <w:r w:rsidR="009A4DF9" w:rsidRPr="0025320F">
        <w:rPr>
          <w:b/>
          <w:i/>
          <w:kern w:val="8"/>
          <w:lang w:val="en-GB"/>
        </w:rPr>
        <w:t xml:space="preserve"> </w:t>
      </w:r>
      <w:r w:rsidR="006F262F" w:rsidRPr="0025320F">
        <w:rPr>
          <w:b/>
          <w:i/>
          <w:kern w:val="8"/>
          <w:lang w:val="en-GB"/>
        </w:rPr>
        <w:t>202</w:t>
      </w:r>
      <w:r w:rsidR="00CC1E80" w:rsidRPr="0025320F">
        <w:rPr>
          <w:b/>
          <w:i/>
          <w:kern w:val="8"/>
          <w:lang w:val="en-GB"/>
        </w:rPr>
        <w:t>2</w:t>
      </w:r>
    </w:p>
    <w:p w14:paraId="61F29943" w14:textId="77777777" w:rsidR="00565B41" w:rsidRPr="0025320F" w:rsidRDefault="00565B41" w:rsidP="005748E0">
      <w:pPr>
        <w:keepNext/>
        <w:widowControl w:val="0"/>
        <w:tabs>
          <w:tab w:val="right" w:pos="360"/>
          <w:tab w:val="left" w:pos="576"/>
        </w:tabs>
        <w:rPr>
          <w:b/>
          <w:kern w:val="8"/>
          <w:lang w:val="en-GB"/>
        </w:rPr>
      </w:pPr>
    </w:p>
    <w:p w14:paraId="1BB07E1A" w14:textId="77777777" w:rsidR="00FA7C59" w:rsidRPr="0025320F" w:rsidRDefault="00FA7C59" w:rsidP="00FA7C59">
      <w:pPr>
        <w:rPr>
          <w:kern w:val="8"/>
          <w:lang w:val="en-GB"/>
        </w:rPr>
      </w:pPr>
      <w:r w:rsidRPr="0025320F">
        <w:rPr>
          <w:kern w:val="8"/>
          <w:lang w:val="en-GB"/>
        </w:rPr>
        <w:t>Other information comprises the information included in the Company’s Management Report for 2022, but does not include the financial statements and our auditor’s report thereon. Management is responsible for the other information.</w:t>
      </w:r>
    </w:p>
    <w:p w14:paraId="5CE273E6" w14:textId="77777777" w:rsidR="00FA7C59" w:rsidRPr="0025320F" w:rsidRDefault="00FA7C59" w:rsidP="00FA7C59">
      <w:pPr>
        <w:spacing w:before="120" w:after="120"/>
        <w:rPr>
          <w:kern w:val="8"/>
          <w:lang w:val="en-GB"/>
        </w:rPr>
      </w:pPr>
      <w:r w:rsidRPr="0025320F">
        <w:rPr>
          <w:kern w:val="8"/>
          <w:lang w:val="en-GB"/>
        </w:rPr>
        <w:t>Our opinion on the financial statements does not cover the other information and we do not express any form of assurance conclusion thereon.</w:t>
      </w:r>
    </w:p>
    <w:p w14:paraId="5D9E2DAC" w14:textId="76853131" w:rsidR="008B13F4" w:rsidRPr="0025320F" w:rsidRDefault="00FA7C59" w:rsidP="00FA7C59">
      <w:pPr>
        <w:spacing w:before="120" w:after="120"/>
        <w:rPr>
          <w:lang w:val="en-GB"/>
        </w:rPr>
      </w:pPr>
      <w:r w:rsidRPr="0025320F">
        <w:rPr>
          <w:kern w:val="8"/>
          <w:lang w:val="en-GB"/>
        </w:rPr>
        <w:t>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w:t>
      </w:r>
      <w:r w:rsidR="00565B41" w:rsidRPr="0025320F">
        <w:rPr>
          <w:kern w:val="8"/>
          <w:lang w:val="en-GB"/>
        </w:rPr>
        <w:t>.</w:t>
      </w:r>
    </w:p>
    <w:p w14:paraId="184AF7D4" w14:textId="77777777" w:rsidR="009A55B4" w:rsidRPr="0025320F" w:rsidRDefault="009A55B4">
      <w:pPr>
        <w:spacing w:after="160" w:line="259" w:lineRule="auto"/>
        <w:rPr>
          <w:b/>
          <w:i/>
          <w:color w:val="000000"/>
          <w:kern w:val="8"/>
          <w:lang w:val="en-GB"/>
        </w:rPr>
      </w:pPr>
    </w:p>
    <w:p w14:paraId="0F12396A" w14:textId="77777777" w:rsidR="001C5949" w:rsidRPr="0025320F" w:rsidRDefault="001C5949" w:rsidP="005748E0">
      <w:pPr>
        <w:keepNext/>
        <w:widowControl w:val="0"/>
        <w:rPr>
          <w:b/>
          <w:i/>
          <w:kern w:val="8"/>
          <w:lang w:val="en-GB"/>
        </w:rPr>
      </w:pPr>
      <w:r w:rsidRPr="0025320F">
        <w:rPr>
          <w:b/>
          <w:i/>
          <w:kern w:val="8"/>
          <w:lang w:val="en-GB"/>
        </w:rPr>
        <w:t>Responsibilities of management an</w:t>
      </w:r>
      <w:r w:rsidR="008A2FA9" w:rsidRPr="0025320F">
        <w:rPr>
          <w:b/>
          <w:i/>
          <w:kern w:val="8"/>
          <w:lang w:val="en-GB"/>
        </w:rPr>
        <w:t>d Revision Commission</w:t>
      </w:r>
      <w:r w:rsidRPr="0025320F">
        <w:rPr>
          <w:b/>
          <w:i/>
          <w:kern w:val="8"/>
          <w:lang w:val="en-GB"/>
        </w:rPr>
        <w:t xml:space="preserve"> for the financial statements</w:t>
      </w:r>
    </w:p>
    <w:p w14:paraId="4931503A" w14:textId="77777777" w:rsidR="008B13F4" w:rsidRPr="0025320F" w:rsidRDefault="008B13F4" w:rsidP="005748E0">
      <w:pPr>
        <w:pStyle w:val="level2"/>
        <w:keepNext/>
        <w:tabs>
          <w:tab w:val="clear" w:pos="360"/>
          <w:tab w:val="clear" w:pos="576"/>
        </w:tabs>
        <w:spacing w:after="0" w:line="240" w:lineRule="auto"/>
        <w:ind w:left="0" w:firstLine="0"/>
        <w:jc w:val="left"/>
        <w:rPr>
          <w:rFonts w:ascii="EYInterstate Light" w:hAnsi="EYInterstate Light"/>
          <w:sz w:val="22"/>
          <w:szCs w:val="22"/>
          <w:lang w:val="en-GB"/>
        </w:rPr>
      </w:pPr>
    </w:p>
    <w:p w14:paraId="3165AE41" w14:textId="77777777" w:rsidR="00FE734A" w:rsidRPr="0025320F" w:rsidRDefault="00FE734A" w:rsidP="0025320F">
      <w:pPr>
        <w:pStyle w:val="level2"/>
        <w:tabs>
          <w:tab w:val="clear" w:pos="360"/>
          <w:tab w:val="clear" w:pos="576"/>
        </w:tabs>
        <w:spacing w:line="276" w:lineRule="auto"/>
        <w:ind w:left="0" w:firstLine="0"/>
        <w:jc w:val="left"/>
        <w:rPr>
          <w:rFonts w:ascii="EYInterstate Light" w:eastAsia="Calibri" w:hAnsi="EYInterstate Light"/>
          <w:sz w:val="22"/>
          <w:szCs w:val="22"/>
          <w:lang w:val="en-GB"/>
        </w:rPr>
      </w:pPr>
      <w:r w:rsidRPr="0025320F">
        <w:rPr>
          <w:rFonts w:ascii="EYInterstate Light" w:eastAsia="Calibri" w:hAnsi="EYInterstate Light"/>
          <w:sz w:val="22"/>
          <w:szCs w:val="22"/>
          <w:lang w:val="en-GB"/>
        </w:rPr>
        <w:t>Management is responsible for the preparation and fair presentation of the financial statements in accordance with IFRS, and for such internal control as management determines is necessary to enable the preparation of financial statements that are free from material misstatement, whether due to fraud or error.</w:t>
      </w:r>
    </w:p>
    <w:p w14:paraId="24DAB028" w14:textId="77777777" w:rsidR="00FE734A" w:rsidRPr="0025320F" w:rsidRDefault="00FE734A" w:rsidP="0025320F">
      <w:pPr>
        <w:pStyle w:val="level2"/>
        <w:tabs>
          <w:tab w:val="clear" w:pos="360"/>
          <w:tab w:val="clear" w:pos="576"/>
        </w:tabs>
        <w:spacing w:line="276" w:lineRule="auto"/>
        <w:ind w:left="0" w:firstLine="0"/>
        <w:jc w:val="left"/>
        <w:rPr>
          <w:rFonts w:ascii="EYInterstate Light" w:eastAsia="Calibri" w:hAnsi="EYInterstate Light"/>
          <w:sz w:val="22"/>
          <w:szCs w:val="22"/>
          <w:lang w:val="en-GB"/>
        </w:rPr>
      </w:pPr>
      <w:r w:rsidRPr="0025320F">
        <w:rPr>
          <w:rFonts w:ascii="EYInterstate Light" w:eastAsia="Calibri" w:hAnsi="EYInterstate Light"/>
          <w:sz w:val="22"/>
          <w:szCs w:val="22"/>
          <w:lang w:val="en-GB"/>
        </w:rPr>
        <w:t>In preparing the financial statements, management is responsible for assessing the Company’s ability to continue as a going concern, disclosing, as applicable, matters related to going concern and using the going concern basis of accounting unless management either intends to liquidate the Company or to cease operations, or has no realistic alternative but to do so.</w:t>
      </w:r>
    </w:p>
    <w:p w14:paraId="124DBBC1" w14:textId="74A4BF60" w:rsidR="001C5949" w:rsidRPr="0025320F" w:rsidRDefault="00FE734A" w:rsidP="0025320F">
      <w:pPr>
        <w:pStyle w:val="level2"/>
        <w:spacing w:after="0" w:line="276" w:lineRule="auto"/>
        <w:ind w:left="0" w:firstLine="0"/>
        <w:jc w:val="left"/>
        <w:rPr>
          <w:rFonts w:ascii="EYInterstate Light" w:eastAsia="Calibri" w:hAnsi="EYInterstate Light"/>
          <w:sz w:val="22"/>
          <w:szCs w:val="22"/>
          <w:lang w:val="en-GB"/>
        </w:rPr>
      </w:pPr>
      <w:r w:rsidRPr="0025320F">
        <w:rPr>
          <w:rFonts w:ascii="EYInterstate Light" w:eastAsia="Calibri" w:hAnsi="EYInterstate Light"/>
          <w:sz w:val="22"/>
          <w:szCs w:val="22"/>
          <w:lang w:val="en-GB"/>
        </w:rPr>
        <w:t>The Revision Commission is responsible for overseeing the Company’s financial reporting process</w:t>
      </w:r>
      <w:r w:rsidR="001C5949" w:rsidRPr="0025320F">
        <w:rPr>
          <w:rFonts w:ascii="EYInterstate Light" w:eastAsia="Calibri" w:hAnsi="EYInterstate Light"/>
          <w:sz w:val="22"/>
          <w:szCs w:val="22"/>
          <w:lang w:val="en-GB"/>
        </w:rPr>
        <w:t>.</w:t>
      </w:r>
    </w:p>
    <w:p w14:paraId="4B28A5AB" w14:textId="77777777" w:rsidR="008B13F4" w:rsidRPr="0025320F" w:rsidRDefault="008B13F4" w:rsidP="00A16684">
      <w:pPr>
        <w:pStyle w:val="level2"/>
        <w:spacing w:after="0" w:line="240" w:lineRule="auto"/>
        <w:ind w:left="0" w:firstLine="0"/>
        <w:jc w:val="left"/>
        <w:rPr>
          <w:rFonts w:ascii="EYInterstate Light" w:hAnsi="EYInterstate Light"/>
          <w:sz w:val="22"/>
          <w:szCs w:val="22"/>
          <w:lang w:val="en-GB"/>
        </w:rPr>
      </w:pPr>
    </w:p>
    <w:p w14:paraId="716860B1" w14:textId="77777777" w:rsidR="00437C1F" w:rsidRPr="0025320F" w:rsidRDefault="00437C1F" w:rsidP="005748E0">
      <w:pPr>
        <w:keepNext/>
        <w:widowControl w:val="0"/>
        <w:tabs>
          <w:tab w:val="right" w:pos="360"/>
          <w:tab w:val="left" w:pos="576"/>
        </w:tabs>
        <w:rPr>
          <w:b/>
          <w:i/>
          <w:color w:val="000000"/>
          <w:kern w:val="8"/>
          <w:lang w:val="en-GB"/>
        </w:rPr>
      </w:pPr>
      <w:r w:rsidRPr="0025320F">
        <w:rPr>
          <w:b/>
          <w:i/>
          <w:color w:val="000000"/>
          <w:kern w:val="8"/>
          <w:lang w:val="en-GB"/>
        </w:rPr>
        <w:t>Auditor’s responsibilities for the audit of the financial statements</w:t>
      </w:r>
    </w:p>
    <w:p w14:paraId="4C5262C2" w14:textId="77777777" w:rsidR="008B13F4" w:rsidRPr="0025320F" w:rsidRDefault="008B13F4" w:rsidP="005748E0">
      <w:pPr>
        <w:pStyle w:val="level2"/>
        <w:keepNext/>
        <w:spacing w:after="0" w:line="240" w:lineRule="auto"/>
        <w:ind w:left="0" w:firstLine="0"/>
        <w:jc w:val="left"/>
        <w:rPr>
          <w:rFonts w:ascii="EYInterstate Light" w:hAnsi="EYInterstate Light"/>
          <w:sz w:val="22"/>
          <w:szCs w:val="22"/>
          <w:lang w:val="en-GB"/>
        </w:rPr>
      </w:pPr>
    </w:p>
    <w:p w14:paraId="0FA37B14" w14:textId="7BD038F1" w:rsidR="00437C1F" w:rsidRPr="0025320F" w:rsidRDefault="00427BB3" w:rsidP="00A16684">
      <w:pPr>
        <w:pStyle w:val="level2"/>
        <w:spacing w:after="0" w:line="240" w:lineRule="auto"/>
        <w:ind w:left="0" w:firstLine="0"/>
        <w:jc w:val="left"/>
        <w:rPr>
          <w:rFonts w:ascii="EYInterstate Light" w:hAnsi="EYInterstate Light"/>
          <w:sz w:val="22"/>
          <w:szCs w:val="22"/>
          <w:lang w:val="en-GB"/>
        </w:rPr>
      </w:pPr>
      <w:r w:rsidRPr="0025320F">
        <w:rPr>
          <w:rFonts w:ascii="EYInterstate Light" w:hAnsi="EYInterstate Light"/>
          <w:sz w:val="22"/>
          <w:szCs w:val="22"/>
          <w:lang w:val="en-GB"/>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w:t>
      </w:r>
      <w:r w:rsidRPr="0025320F">
        <w:rPr>
          <w:rFonts w:ascii="EYInterstate Light" w:hAnsi="EYInterstate Light"/>
          <w:sz w:val="22"/>
          <w:szCs w:val="22"/>
          <w:lang w:val="en-GB"/>
        </w:rPr>
        <w:lastRenderedPageBreak/>
        <w:t>misstatement when it exists. Misstatements can arise from fraud or error and are considered material if, individually or in the aggregate, they could reasonably be expected to influence the economic decisions of users taken on the basis of these financial statements</w:t>
      </w:r>
      <w:r w:rsidR="00BC3EC2" w:rsidRPr="0025320F">
        <w:rPr>
          <w:rFonts w:ascii="EYInterstate Light" w:hAnsi="EYInterstate Light"/>
          <w:sz w:val="22"/>
          <w:szCs w:val="22"/>
          <w:lang w:val="en-GB"/>
        </w:rPr>
        <w:t>.</w:t>
      </w:r>
    </w:p>
    <w:p w14:paraId="0DB57680" w14:textId="77777777" w:rsidR="008B13F4" w:rsidRPr="0025320F" w:rsidRDefault="008B13F4" w:rsidP="00A16684">
      <w:pPr>
        <w:pStyle w:val="level2"/>
        <w:spacing w:after="0" w:line="240" w:lineRule="auto"/>
        <w:ind w:left="0" w:firstLine="0"/>
        <w:jc w:val="left"/>
        <w:rPr>
          <w:rFonts w:ascii="EYInterstate Light" w:hAnsi="EYInterstate Light"/>
          <w:sz w:val="22"/>
          <w:szCs w:val="22"/>
          <w:lang w:val="en-GB"/>
        </w:rPr>
      </w:pPr>
    </w:p>
    <w:p w14:paraId="058FC3E0" w14:textId="05E45898" w:rsidR="00437C1F" w:rsidRPr="0025320F" w:rsidRDefault="004E4410" w:rsidP="00A16684">
      <w:pPr>
        <w:rPr>
          <w:lang w:val="en-GB"/>
        </w:rPr>
      </w:pPr>
      <w:r w:rsidRPr="0025320F">
        <w:rPr>
          <w:lang w:val="en-GB"/>
        </w:rPr>
        <w:t>As part of an audit in accordance with ISAs, we exercise professional judgment and maintain professional scepticism throughout the audit. We also</w:t>
      </w:r>
      <w:r w:rsidR="00437C1F" w:rsidRPr="0025320F">
        <w:rPr>
          <w:lang w:val="en-GB"/>
        </w:rPr>
        <w:t>:</w:t>
      </w:r>
    </w:p>
    <w:p w14:paraId="775A24C4" w14:textId="3C5F1A95" w:rsidR="00311576" w:rsidRPr="0025320F" w:rsidRDefault="00CF5782">
      <w:pPr>
        <w:pStyle w:val="ListParagraph"/>
        <w:numPr>
          <w:ilvl w:val="0"/>
          <w:numId w:val="11"/>
        </w:numPr>
        <w:spacing w:before="120"/>
        <w:ind w:left="567" w:hanging="567"/>
        <w:contextualSpacing w:val="0"/>
        <w:rPr>
          <w:lang w:val="en-GB"/>
        </w:rPr>
      </w:pPr>
      <w:r w:rsidRPr="0025320F">
        <w:rPr>
          <w:lang w:val="en-GB"/>
        </w:rPr>
        <w:t>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r w:rsidR="00437C1F" w:rsidRPr="0025320F">
        <w:rPr>
          <w:lang w:val="en-GB"/>
        </w:rPr>
        <w:t>.</w:t>
      </w:r>
    </w:p>
    <w:p w14:paraId="58415C7A" w14:textId="398B2A5E" w:rsidR="008B13F4" w:rsidRPr="0025320F" w:rsidRDefault="00E610E1">
      <w:pPr>
        <w:pStyle w:val="ListParagraph"/>
        <w:numPr>
          <w:ilvl w:val="0"/>
          <w:numId w:val="11"/>
        </w:numPr>
        <w:spacing w:before="120"/>
        <w:ind w:left="567" w:hanging="567"/>
        <w:contextualSpacing w:val="0"/>
        <w:rPr>
          <w:lang w:val="en-GB"/>
        </w:rPr>
      </w:pPr>
      <w:r w:rsidRPr="0025320F">
        <w:rPr>
          <w:lang w:val="en-GB"/>
        </w:rPr>
        <w:t>Obtain an understanding of internal control relevant to the audit in order to design audit procedures that are appropriate in the circumstances, but not for the purpose of expressing an opinion on the effectiveness of the Company’s internal control</w:t>
      </w:r>
      <w:r w:rsidR="00BC3EC2" w:rsidRPr="0025320F">
        <w:rPr>
          <w:lang w:val="en-GB"/>
        </w:rPr>
        <w:t>.</w:t>
      </w:r>
    </w:p>
    <w:p w14:paraId="5E85961A" w14:textId="6CA87189" w:rsidR="00437C1F" w:rsidRPr="0025320F" w:rsidRDefault="008E2B1D" w:rsidP="00744695">
      <w:pPr>
        <w:pStyle w:val="ListParagraph"/>
        <w:numPr>
          <w:ilvl w:val="0"/>
          <w:numId w:val="11"/>
        </w:numPr>
        <w:spacing w:before="120"/>
        <w:ind w:left="567" w:hanging="567"/>
        <w:contextualSpacing w:val="0"/>
        <w:rPr>
          <w:lang w:val="en-GB"/>
        </w:rPr>
      </w:pPr>
      <w:r w:rsidRPr="0025320F">
        <w:rPr>
          <w:lang w:val="en-GB"/>
        </w:rPr>
        <w:t>Evaluate the appropriateness of accounting policies used and the reasonableness of accounting estimates and related disclosures made by management</w:t>
      </w:r>
      <w:r w:rsidR="00437C1F" w:rsidRPr="0025320F">
        <w:rPr>
          <w:lang w:val="en-GB"/>
        </w:rPr>
        <w:t>.</w:t>
      </w:r>
    </w:p>
    <w:p w14:paraId="45DC3EDC" w14:textId="2809E2D1" w:rsidR="00437C1F" w:rsidRPr="0025320F" w:rsidRDefault="00244731" w:rsidP="00744695">
      <w:pPr>
        <w:pStyle w:val="ListParagraph"/>
        <w:numPr>
          <w:ilvl w:val="0"/>
          <w:numId w:val="11"/>
        </w:numPr>
        <w:spacing w:before="120"/>
        <w:ind w:left="567" w:hanging="567"/>
        <w:contextualSpacing w:val="0"/>
        <w:rPr>
          <w:lang w:val="en-GB"/>
        </w:rPr>
      </w:pPr>
      <w:r w:rsidRPr="0025320F">
        <w:rPr>
          <w:lang w:val="en-GB"/>
        </w:rPr>
        <w:t>Conclude on the appropriateness of management’s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w:t>
      </w:r>
      <w:r w:rsidR="00437C1F" w:rsidRPr="0025320F">
        <w:rPr>
          <w:lang w:val="en-GB"/>
        </w:rPr>
        <w:t>.</w:t>
      </w:r>
    </w:p>
    <w:p w14:paraId="2D64487A" w14:textId="208E3797" w:rsidR="00191EC3" w:rsidRPr="0025320F" w:rsidRDefault="00187B0E" w:rsidP="00744695">
      <w:pPr>
        <w:pStyle w:val="ListParagraph"/>
        <w:numPr>
          <w:ilvl w:val="0"/>
          <w:numId w:val="11"/>
        </w:numPr>
        <w:spacing w:before="120"/>
        <w:ind w:left="567" w:hanging="567"/>
        <w:contextualSpacing w:val="0"/>
        <w:rPr>
          <w:lang w:val="en-GB"/>
        </w:rPr>
      </w:pPr>
      <w:r w:rsidRPr="0025320F">
        <w:rPr>
          <w:lang w:val="en-GB"/>
        </w:rPr>
        <w:t>Evaluate the overall presentation, structure and content of the financial statements, including the disclosures, and whether the financial statements represent the underlying transactions and events in a manner that achieves fair presentation</w:t>
      </w:r>
      <w:r w:rsidR="00191EC3" w:rsidRPr="0025320F">
        <w:rPr>
          <w:lang w:val="en-GB"/>
        </w:rPr>
        <w:t>.</w:t>
      </w:r>
    </w:p>
    <w:p w14:paraId="7B3D3FE4" w14:textId="77777777" w:rsidR="00191EC3" w:rsidRPr="0025320F" w:rsidRDefault="00191EC3" w:rsidP="00744695">
      <w:pPr>
        <w:pStyle w:val="Tablebullet10"/>
        <w:numPr>
          <w:ilvl w:val="0"/>
          <w:numId w:val="0"/>
        </w:numPr>
        <w:spacing w:before="0" w:after="0"/>
        <w:ind w:right="0"/>
        <w:rPr>
          <w:rFonts w:ascii="EYInterstate Light" w:hAnsi="EYInterstate Light"/>
          <w:color w:val="auto"/>
          <w:kern w:val="8"/>
          <w:sz w:val="22"/>
          <w:szCs w:val="22"/>
          <w:lang w:val="en-GB" w:eastAsia="ru-RU" w:bidi="ru-RU"/>
        </w:rPr>
      </w:pPr>
    </w:p>
    <w:p w14:paraId="77C90A48" w14:textId="3B203070" w:rsidR="00191EC3" w:rsidRPr="0025320F" w:rsidRDefault="003C12FE" w:rsidP="00744695">
      <w:pPr>
        <w:rPr>
          <w:rFonts w:eastAsia="Times New Roman"/>
          <w:kern w:val="8"/>
          <w:lang w:val="en-GB"/>
        </w:rPr>
      </w:pPr>
      <w:r w:rsidRPr="0025320F">
        <w:rPr>
          <w:rFonts w:eastAsia="Times New Roman"/>
          <w:kern w:val="8"/>
          <w:lang w:val="en-GB"/>
        </w:rPr>
        <w:t>We communicate with the Revision Commission regarding, among other matters, the planned scope and timing of the audit and significant audit findings, including any significant deficiencies in internal control that we identify during our audit</w:t>
      </w:r>
      <w:r w:rsidR="00191EC3" w:rsidRPr="0025320F">
        <w:rPr>
          <w:rFonts w:eastAsia="Times New Roman"/>
          <w:kern w:val="8"/>
          <w:lang w:val="en-GB"/>
        </w:rPr>
        <w:t>.</w:t>
      </w:r>
    </w:p>
    <w:p w14:paraId="769C611E" w14:textId="77777777" w:rsidR="00E96820" w:rsidRPr="0025320F" w:rsidRDefault="00E96820" w:rsidP="00744695">
      <w:pPr>
        <w:rPr>
          <w:rFonts w:eastAsia="Times New Roman"/>
          <w:kern w:val="8"/>
          <w:lang w:val="en-GB"/>
        </w:rPr>
      </w:pPr>
    </w:p>
    <w:p w14:paraId="6846AA91" w14:textId="103913F3" w:rsidR="00191EC3" w:rsidRPr="0025320F" w:rsidRDefault="003B1AA7" w:rsidP="00744695">
      <w:pPr>
        <w:rPr>
          <w:rFonts w:eastAsia="Times New Roman"/>
          <w:kern w:val="8"/>
          <w:lang w:val="en-GB"/>
        </w:rPr>
      </w:pPr>
      <w:r w:rsidRPr="0025320F">
        <w:rPr>
          <w:rFonts w:eastAsia="Times New Roman"/>
          <w:kern w:val="8"/>
          <w:lang w:val="en-GB"/>
        </w:rPr>
        <w:t>We also provide the Revision Commission with a statement that we have complied with relevant ethical requirements regarding independence, and to communicate with them all relationships and other matters that may reasonably be thought to bear on our independence, and where applicable, related safeguards</w:t>
      </w:r>
      <w:r w:rsidR="00191EC3" w:rsidRPr="0025320F">
        <w:rPr>
          <w:rFonts w:eastAsia="Times New Roman"/>
          <w:kern w:val="8"/>
          <w:lang w:val="en-GB"/>
        </w:rPr>
        <w:t>.</w:t>
      </w:r>
    </w:p>
    <w:p w14:paraId="7A0A6173" w14:textId="77777777" w:rsidR="00E96820" w:rsidRPr="0025320F" w:rsidRDefault="00E96820" w:rsidP="00744695">
      <w:pPr>
        <w:rPr>
          <w:rFonts w:eastAsia="Times New Roman"/>
          <w:kern w:val="8"/>
          <w:lang w:val="en-GB"/>
        </w:rPr>
      </w:pPr>
    </w:p>
    <w:p w14:paraId="7B4984BD" w14:textId="62CDD945" w:rsidR="00191EC3" w:rsidRPr="0025320F" w:rsidRDefault="004C648C" w:rsidP="00744695">
      <w:pPr>
        <w:pStyle w:val="Tablebullet10"/>
        <w:numPr>
          <w:ilvl w:val="0"/>
          <w:numId w:val="0"/>
        </w:numPr>
        <w:spacing w:before="0" w:after="0"/>
        <w:ind w:right="0"/>
        <w:rPr>
          <w:rFonts w:ascii="EYInterstate Light" w:hAnsi="EYInterstate Light"/>
          <w:color w:val="auto"/>
          <w:kern w:val="8"/>
          <w:sz w:val="22"/>
          <w:szCs w:val="22"/>
          <w:lang w:val="en-GB" w:eastAsia="ru-RU" w:bidi="ru-RU"/>
        </w:rPr>
      </w:pPr>
      <w:r w:rsidRPr="0025320F">
        <w:rPr>
          <w:rFonts w:ascii="EYInterstate Light" w:hAnsi="EYInterstate Light"/>
          <w:color w:val="auto"/>
          <w:kern w:val="8"/>
          <w:sz w:val="22"/>
          <w:szCs w:val="22"/>
          <w:lang w:val="en-GB" w:eastAsia="ru-RU" w:bidi="ru-RU"/>
        </w:rPr>
        <w:t>From the matters communicated with the Revision Commission, we determine those matters that were of most significance in the audit of the financial statements of the current period and are therefore the key audit matters</w:t>
      </w:r>
      <w:r w:rsidR="00191EC3" w:rsidRPr="0025320F">
        <w:rPr>
          <w:rFonts w:ascii="EYInterstate Light" w:hAnsi="EYInterstate Light"/>
          <w:color w:val="auto"/>
          <w:kern w:val="8"/>
          <w:sz w:val="22"/>
          <w:szCs w:val="22"/>
          <w:lang w:val="en-GB" w:eastAsia="ru-RU" w:bidi="ru-RU"/>
        </w:rPr>
        <w:t>.</w:t>
      </w:r>
      <w:r w:rsidR="0077649F" w:rsidRPr="0025320F" w:rsidDel="0077649F">
        <w:rPr>
          <w:rFonts w:ascii="EYInterstate Light" w:hAnsi="EYInterstate Light"/>
          <w:color w:val="auto"/>
          <w:kern w:val="8"/>
          <w:sz w:val="22"/>
          <w:szCs w:val="22"/>
          <w:lang w:val="en-GB" w:eastAsia="ru-RU" w:bidi="ru-RU"/>
        </w:rPr>
        <w:t xml:space="preserve"> </w:t>
      </w:r>
    </w:p>
    <w:p w14:paraId="4E76528D" w14:textId="77777777" w:rsidR="00191EC3" w:rsidRPr="0025320F" w:rsidRDefault="00191EC3" w:rsidP="00A16684">
      <w:pPr>
        <w:rPr>
          <w:lang w:val="en-GB"/>
        </w:rPr>
      </w:pPr>
    </w:p>
    <w:p w14:paraId="2C49C9DC" w14:textId="77777777" w:rsidR="00191EC3" w:rsidRPr="0025320F" w:rsidRDefault="00191EC3" w:rsidP="005748E0">
      <w:pPr>
        <w:keepNext/>
        <w:spacing w:line="259" w:lineRule="auto"/>
        <w:rPr>
          <w:b/>
          <w:color w:val="000000"/>
          <w:kern w:val="8"/>
          <w:lang w:val="en-GB"/>
        </w:rPr>
      </w:pPr>
      <w:r w:rsidRPr="0025320F">
        <w:rPr>
          <w:b/>
          <w:color w:val="000000"/>
          <w:kern w:val="8"/>
          <w:lang w:val="en-GB"/>
        </w:rPr>
        <w:t>Report on other legal and regulatory requirements</w:t>
      </w:r>
    </w:p>
    <w:p w14:paraId="25D1C036" w14:textId="77777777" w:rsidR="00E96820" w:rsidRPr="0025320F" w:rsidRDefault="00E96820" w:rsidP="005748E0">
      <w:pPr>
        <w:keepNext/>
        <w:rPr>
          <w:rFonts w:eastAsia="Times New Roman"/>
          <w:kern w:val="8"/>
          <w:lang w:val="en-GB"/>
        </w:rPr>
      </w:pPr>
    </w:p>
    <w:p w14:paraId="7AC78F6F" w14:textId="61FC5728" w:rsidR="008B6B53" w:rsidRPr="0025320F" w:rsidRDefault="004A3D4E" w:rsidP="00A16684">
      <w:pPr>
        <w:rPr>
          <w:rFonts w:eastAsia="Times New Roman"/>
          <w:kern w:val="8"/>
          <w:lang w:val="en-GB"/>
        </w:rPr>
      </w:pPr>
      <w:r w:rsidRPr="0025320F">
        <w:rPr>
          <w:rFonts w:eastAsia="Times New Roman"/>
          <w:kern w:val="8"/>
          <w:lang w:val="en-GB"/>
        </w:rPr>
        <w:t xml:space="preserve">Pursuant to the requirements of Article 14 paragraph 4 of Law of Ukraine “On audit of financial statements and auditing activity” No. 2258-VIII (the “Law No. 2258-VIII”) we provide the </w:t>
      </w:r>
      <w:r w:rsidRPr="0025320F">
        <w:rPr>
          <w:rFonts w:eastAsia="Times New Roman"/>
          <w:kern w:val="8"/>
          <w:lang w:val="en-GB"/>
        </w:rPr>
        <w:lastRenderedPageBreak/>
        <w:t>following information in our Independent Auditor’s Report, which is required in addition to the requirements of International Standards on Auditing</w:t>
      </w:r>
      <w:r w:rsidR="008B6B53" w:rsidRPr="0025320F">
        <w:rPr>
          <w:rFonts w:eastAsia="Times New Roman"/>
          <w:kern w:val="8"/>
          <w:lang w:val="en-GB"/>
        </w:rPr>
        <w:t>.</w:t>
      </w:r>
    </w:p>
    <w:p w14:paraId="119E65B1" w14:textId="77777777" w:rsidR="00A77C3B" w:rsidRDefault="00A77C3B" w:rsidP="005748E0">
      <w:pPr>
        <w:keepNext/>
        <w:rPr>
          <w:rFonts w:eastAsia="Times New Roman"/>
          <w:i/>
          <w:kern w:val="8"/>
          <w:lang w:val="en-GB"/>
        </w:rPr>
      </w:pPr>
    </w:p>
    <w:p w14:paraId="490D7860" w14:textId="3D982A5F" w:rsidR="009838E3" w:rsidRPr="0025320F" w:rsidRDefault="009838E3" w:rsidP="005748E0">
      <w:pPr>
        <w:keepNext/>
        <w:rPr>
          <w:rFonts w:eastAsia="Times New Roman"/>
          <w:i/>
          <w:kern w:val="8"/>
          <w:lang w:val="en-GB"/>
        </w:rPr>
      </w:pPr>
      <w:r w:rsidRPr="0025320F">
        <w:rPr>
          <w:rFonts w:eastAsia="Times New Roman"/>
          <w:i/>
          <w:kern w:val="8"/>
          <w:lang w:val="en-GB"/>
        </w:rPr>
        <w:t>Appointment of the auditor</w:t>
      </w:r>
      <w:r w:rsidR="00552FE6" w:rsidRPr="0025320F">
        <w:rPr>
          <w:rFonts w:eastAsia="Times New Roman"/>
          <w:i/>
          <w:kern w:val="8"/>
          <w:lang w:val="en-GB"/>
        </w:rPr>
        <w:t xml:space="preserve"> </w:t>
      </w:r>
      <w:r w:rsidRPr="0025320F">
        <w:rPr>
          <w:rFonts w:eastAsia="Times New Roman"/>
          <w:i/>
          <w:kern w:val="8"/>
          <w:lang w:val="en-GB"/>
        </w:rPr>
        <w:t>and period of engagement</w:t>
      </w:r>
    </w:p>
    <w:p w14:paraId="24CFDED5" w14:textId="77777777" w:rsidR="009838E3" w:rsidRPr="0025320F" w:rsidRDefault="009838E3" w:rsidP="005748E0">
      <w:pPr>
        <w:keepNext/>
        <w:rPr>
          <w:rFonts w:eastAsia="Times New Roman"/>
          <w:kern w:val="8"/>
          <w:lang w:val="en-GB"/>
        </w:rPr>
      </w:pPr>
    </w:p>
    <w:p w14:paraId="55A450B1" w14:textId="68E242CB" w:rsidR="009838E3" w:rsidRPr="0025320F" w:rsidRDefault="006D22CA" w:rsidP="00A16684">
      <w:pPr>
        <w:rPr>
          <w:rFonts w:eastAsia="Times New Roman"/>
          <w:kern w:val="8"/>
          <w:lang w:val="en-GB"/>
        </w:rPr>
      </w:pPr>
      <w:r w:rsidRPr="0025320F">
        <w:rPr>
          <w:lang w:val="en-GB"/>
        </w:rPr>
        <w:t>We were first appointed as independent auditors to perform a statutory audit of the Company’s financial statements on 27 September 2018. Our appointment has been renewed annually by the decisions of Participant. The period of total uninterrupted engagement for performing the statutory audit of the Company is five years</w:t>
      </w:r>
      <w:r w:rsidR="00636E1F" w:rsidRPr="0025320F">
        <w:rPr>
          <w:lang w:val="en-GB"/>
        </w:rPr>
        <w:t>.</w:t>
      </w:r>
    </w:p>
    <w:p w14:paraId="1BB882CD" w14:textId="77777777" w:rsidR="009838E3" w:rsidRPr="0025320F" w:rsidRDefault="009838E3" w:rsidP="00A16684">
      <w:pPr>
        <w:rPr>
          <w:rFonts w:eastAsia="Times New Roman"/>
          <w:kern w:val="8"/>
          <w:lang w:val="en-GB"/>
        </w:rPr>
      </w:pPr>
    </w:p>
    <w:p w14:paraId="107EA68D" w14:textId="77777777" w:rsidR="009838E3" w:rsidRPr="0025320F" w:rsidRDefault="009838E3" w:rsidP="005748E0">
      <w:pPr>
        <w:keepNext/>
        <w:rPr>
          <w:rFonts w:eastAsia="Times New Roman"/>
          <w:i/>
          <w:kern w:val="8"/>
          <w:lang w:val="en-GB"/>
        </w:rPr>
      </w:pPr>
      <w:r w:rsidRPr="0025320F">
        <w:rPr>
          <w:rFonts w:eastAsia="Times New Roman"/>
          <w:i/>
          <w:kern w:val="8"/>
          <w:lang w:val="en-GB"/>
        </w:rPr>
        <w:t xml:space="preserve">Consistency of </w:t>
      </w:r>
      <w:r w:rsidR="005B24BA" w:rsidRPr="0025320F">
        <w:rPr>
          <w:rFonts w:eastAsia="Times New Roman"/>
          <w:i/>
          <w:kern w:val="8"/>
          <w:lang w:val="en-GB"/>
        </w:rPr>
        <w:t xml:space="preserve">the independent auditor’s report with </w:t>
      </w:r>
      <w:r w:rsidRPr="0025320F">
        <w:rPr>
          <w:rFonts w:eastAsia="Times New Roman"/>
          <w:i/>
          <w:kern w:val="8"/>
          <w:lang w:val="en-GB"/>
        </w:rPr>
        <w:t xml:space="preserve">the additional report to the </w:t>
      </w:r>
      <w:r w:rsidR="008A2FA9" w:rsidRPr="0025320F">
        <w:rPr>
          <w:rFonts w:eastAsia="Times New Roman"/>
          <w:i/>
          <w:kern w:val="8"/>
          <w:lang w:val="en-GB"/>
        </w:rPr>
        <w:t>Revision Commission</w:t>
      </w:r>
    </w:p>
    <w:p w14:paraId="65C82BEA" w14:textId="77777777" w:rsidR="009838E3" w:rsidRPr="0025320F" w:rsidRDefault="009838E3" w:rsidP="005748E0">
      <w:pPr>
        <w:keepNext/>
        <w:rPr>
          <w:rFonts w:eastAsia="Times New Roman"/>
          <w:kern w:val="8"/>
          <w:lang w:val="en-GB"/>
        </w:rPr>
      </w:pPr>
    </w:p>
    <w:p w14:paraId="4B498ECB" w14:textId="64CBFCE2" w:rsidR="009838E3" w:rsidRPr="0025320F" w:rsidRDefault="008D4820" w:rsidP="009838E3">
      <w:pPr>
        <w:rPr>
          <w:rFonts w:eastAsia="Times New Roman"/>
          <w:kern w:val="8"/>
          <w:lang w:val="en-GB"/>
        </w:rPr>
      </w:pPr>
      <w:r w:rsidRPr="0025320F">
        <w:rPr>
          <w:lang w:val="en-GB"/>
        </w:rPr>
        <w:t xml:space="preserve">We confirm that our independent auditor’s report is consistent with the additional report to the </w:t>
      </w:r>
      <w:r w:rsidRPr="0025320F">
        <w:rPr>
          <w:rFonts w:eastAsia="Times New Roman"/>
          <w:kern w:val="8"/>
          <w:lang w:val="en-GB"/>
        </w:rPr>
        <w:t xml:space="preserve">Revision Commission </w:t>
      </w:r>
      <w:r w:rsidRPr="0025320F">
        <w:rPr>
          <w:lang w:val="en-GB"/>
        </w:rPr>
        <w:t xml:space="preserve">of the Company, which we issued on </w:t>
      </w:r>
      <w:r w:rsidRPr="0025320F">
        <w:rPr>
          <w:lang w:val="en-AS"/>
        </w:rPr>
        <w:t>30</w:t>
      </w:r>
      <w:r w:rsidRPr="0025320F">
        <w:rPr>
          <w:lang w:val="en-GB"/>
        </w:rPr>
        <w:t xml:space="preserve"> March 2023 in accordance with Article 35 of </w:t>
      </w:r>
      <w:r w:rsidRPr="0025320F">
        <w:rPr>
          <w:iCs/>
          <w:lang w:val="en-GB"/>
        </w:rPr>
        <w:t>Law No. 2258-VIII</w:t>
      </w:r>
      <w:r w:rsidR="00B84BF1" w:rsidRPr="0025320F">
        <w:rPr>
          <w:lang w:val="en-GB"/>
        </w:rPr>
        <w:t>.</w:t>
      </w:r>
    </w:p>
    <w:p w14:paraId="5FF7D2F7" w14:textId="77777777" w:rsidR="009838E3" w:rsidRPr="0025320F" w:rsidRDefault="009838E3" w:rsidP="00A16684">
      <w:pPr>
        <w:rPr>
          <w:rFonts w:eastAsia="Times New Roman"/>
          <w:kern w:val="8"/>
          <w:lang w:val="en-GB"/>
        </w:rPr>
      </w:pPr>
    </w:p>
    <w:p w14:paraId="41654A09" w14:textId="77777777" w:rsidR="009838E3" w:rsidRPr="0025320F" w:rsidRDefault="009838E3" w:rsidP="005748E0">
      <w:pPr>
        <w:keepNext/>
        <w:rPr>
          <w:rFonts w:eastAsia="Times New Roman"/>
          <w:i/>
          <w:kern w:val="8"/>
          <w:lang w:val="en-GB"/>
        </w:rPr>
      </w:pPr>
      <w:r w:rsidRPr="0025320F">
        <w:rPr>
          <w:rFonts w:eastAsia="Times New Roman"/>
          <w:i/>
          <w:kern w:val="8"/>
          <w:lang w:val="en-GB"/>
        </w:rPr>
        <w:t>Provision of non-audit services</w:t>
      </w:r>
    </w:p>
    <w:p w14:paraId="65D62238" w14:textId="77777777" w:rsidR="009838E3" w:rsidRPr="0025320F" w:rsidRDefault="009838E3" w:rsidP="005748E0">
      <w:pPr>
        <w:keepNext/>
        <w:rPr>
          <w:rFonts w:eastAsia="Times New Roman"/>
          <w:kern w:val="8"/>
          <w:lang w:val="en-GB"/>
        </w:rPr>
      </w:pPr>
    </w:p>
    <w:p w14:paraId="3DB5E383" w14:textId="77777777" w:rsidR="009531B1" w:rsidRPr="0025320F" w:rsidRDefault="009531B1" w:rsidP="009531B1">
      <w:pPr>
        <w:widowControl w:val="0"/>
        <w:spacing w:before="120" w:after="120"/>
        <w:rPr>
          <w:lang w:val="en-GB"/>
        </w:rPr>
      </w:pPr>
      <w:r w:rsidRPr="0025320F">
        <w:rPr>
          <w:lang w:val="en-GB"/>
        </w:rPr>
        <w:t>We declare that no prohibited non-audit services referred to in Article 6 paragraph 4 of Law No. 2258-VIII were provided. In addition, there are no non-audit services which were provided by us to the Company.</w:t>
      </w:r>
    </w:p>
    <w:p w14:paraId="0B1858A2" w14:textId="05E5F2CF" w:rsidR="00B939D8" w:rsidRPr="0025320F" w:rsidRDefault="009531B1" w:rsidP="009531B1">
      <w:pPr>
        <w:widowControl w:val="0"/>
        <w:spacing w:before="120" w:after="120"/>
        <w:rPr>
          <w:lang w:val="en-GB"/>
        </w:rPr>
      </w:pPr>
      <w:r w:rsidRPr="0025320F">
        <w:rPr>
          <w:lang w:val="en-GB"/>
        </w:rPr>
        <w:t>The partner in charge of the audit resulting in this independent auditor’s report is Alexander Svistich</w:t>
      </w:r>
      <w:r w:rsidR="00B939D8" w:rsidRPr="0025320F">
        <w:rPr>
          <w:lang w:val="en-GB"/>
        </w:rPr>
        <w:t>.</w:t>
      </w:r>
    </w:p>
    <w:p w14:paraId="400D0822" w14:textId="77777777" w:rsidR="00D24B70" w:rsidRPr="0025320F" w:rsidRDefault="00D24B70" w:rsidP="009531B1">
      <w:pPr>
        <w:widowControl w:val="0"/>
        <w:spacing w:before="120" w:after="120"/>
        <w:rPr>
          <w:lang w:val="en-GB"/>
        </w:rPr>
      </w:pPr>
    </w:p>
    <w:p w14:paraId="4EFDCC8E" w14:textId="77777777" w:rsidR="00DC0921" w:rsidRPr="0025320F" w:rsidRDefault="00DC0921" w:rsidP="00A16684">
      <w:pPr>
        <w:shd w:val="clear" w:color="auto" w:fill="FFFFFF"/>
        <w:rPr>
          <w:rFonts w:eastAsia="Times New Roman"/>
          <w:lang w:val="en-GB" w:eastAsia="en-US" w:bidi="ar-SA"/>
        </w:rPr>
      </w:pPr>
    </w:p>
    <w:p w14:paraId="799D3302" w14:textId="77777777" w:rsidR="00E96820" w:rsidRPr="0025320F" w:rsidRDefault="00E96820" w:rsidP="001E03F9">
      <w:pPr>
        <w:pStyle w:val="NormalnTimes12AYbodytextTimes12Point10pointFlushleftGeneva1012pointFlushleftTimesFlushleftTimes10FlushleftTimes12JustifiedFlushLeftNormalproposalNormalpropPropmarginNormalmarginNorma"/>
        <w:widowControl/>
        <w:tabs>
          <w:tab w:val="clear" w:pos="620"/>
        </w:tabs>
        <w:ind w:right="6"/>
        <w:jc w:val="left"/>
        <w:rPr>
          <w:rFonts w:ascii="EYInterstate Light" w:hAnsi="EYInterstate Light"/>
          <w:sz w:val="22"/>
          <w:szCs w:val="22"/>
          <w:lang w:val="en-GB"/>
        </w:rPr>
      </w:pPr>
    </w:p>
    <w:p w14:paraId="1EBAC240" w14:textId="6A1C4D1B" w:rsidR="00E14F10" w:rsidRPr="0025320F" w:rsidRDefault="00372E30" w:rsidP="001E03F9">
      <w:pPr>
        <w:pStyle w:val="NormalnTimes12AYbodytextTimes12Point10pointFlushleftGeneva1012pointFlushleftTimesFlushleftTimes10FlushleftTimes12JustifiedFlushLeftNormalproposalNormalpropPropmarginNormalmarginNorma"/>
        <w:widowControl/>
        <w:tabs>
          <w:tab w:val="clear" w:pos="620"/>
        </w:tabs>
        <w:ind w:right="6"/>
        <w:jc w:val="left"/>
        <w:rPr>
          <w:rFonts w:ascii="EYInterstate Light" w:hAnsi="EYInterstate Light"/>
          <w:sz w:val="22"/>
          <w:szCs w:val="22"/>
          <w:lang w:val="en-GB"/>
        </w:rPr>
      </w:pPr>
      <w:r w:rsidRPr="0025320F">
        <w:rPr>
          <w:rFonts w:ascii="EYInterstate Light" w:hAnsi="EYInterstate Light"/>
          <w:sz w:val="22"/>
          <w:szCs w:val="22"/>
          <w:lang w:val="en-GB"/>
        </w:rPr>
        <w:t>Alexander Svistich</w:t>
      </w:r>
    </w:p>
    <w:p w14:paraId="7DBAC1BA" w14:textId="77777777" w:rsidR="00BE71E6" w:rsidRPr="0025320F" w:rsidRDefault="00BE71E6" w:rsidP="001E03F9">
      <w:pPr>
        <w:pStyle w:val="NormalnTimes12AYbodytextTimes12Point10pointFlushleftGeneva1012pointFlushleftTimesFlushleftTimes10FlushleftTimes12JustifiedFlushLeftNormalproposalNormalpropPropmarginNormalmarginNorma"/>
        <w:widowControl/>
        <w:tabs>
          <w:tab w:val="clear" w:pos="620"/>
        </w:tabs>
        <w:ind w:right="6"/>
        <w:jc w:val="left"/>
        <w:rPr>
          <w:rFonts w:ascii="EYInterstate Light" w:hAnsi="EYInterstate Light"/>
          <w:sz w:val="22"/>
          <w:szCs w:val="22"/>
          <w:lang w:val="en-GB"/>
        </w:rPr>
      </w:pPr>
      <w:r w:rsidRPr="0025320F">
        <w:rPr>
          <w:rFonts w:ascii="EYInterstate Light" w:hAnsi="EYInterstate Light"/>
          <w:sz w:val="22"/>
          <w:szCs w:val="22"/>
          <w:lang w:val="en-GB"/>
        </w:rPr>
        <w:t>Partner</w:t>
      </w:r>
    </w:p>
    <w:p w14:paraId="00A6EA6B" w14:textId="77777777" w:rsidR="00BE71E6" w:rsidRPr="0025320F" w:rsidRDefault="006F7687" w:rsidP="001E03F9">
      <w:pPr>
        <w:pStyle w:val="NormalnTimes12AYbodytextTimes12Point10pointFlushleftGeneva1012pointFlushleftTimesFlushleftTimes10FlushleftTimes12JustifiedFlushLeftNormalproposalNormalpropPropmarginNormalmarginNorma"/>
        <w:widowControl/>
        <w:tabs>
          <w:tab w:val="clear" w:pos="620"/>
        </w:tabs>
        <w:ind w:right="6"/>
        <w:jc w:val="left"/>
        <w:rPr>
          <w:rFonts w:ascii="EYInterstate Light" w:hAnsi="EYInterstate Light"/>
          <w:sz w:val="22"/>
          <w:szCs w:val="22"/>
          <w:lang w:val="en-GB"/>
        </w:rPr>
      </w:pPr>
      <w:r w:rsidRPr="0025320F">
        <w:rPr>
          <w:rFonts w:ascii="EYInterstate Light" w:hAnsi="EYInterstate Light"/>
          <w:sz w:val="22"/>
          <w:szCs w:val="22"/>
          <w:lang w:val="en-GB"/>
        </w:rPr>
        <w:t>f</w:t>
      </w:r>
      <w:r w:rsidR="00927909" w:rsidRPr="0025320F">
        <w:rPr>
          <w:rFonts w:ascii="EYInterstate Light" w:hAnsi="EYInterstate Light"/>
          <w:sz w:val="22"/>
          <w:szCs w:val="22"/>
          <w:lang w:val="en-GB"/>
        </w:rPr>
        <w:t xml:space="preserve">or and on behalf of </w:t>
      </w:r>
      <w:r w:rsidR="00BE71E6" w:rsidRPr="0025320F">
        <w:rPr>
          <w:rFonts w:ascii="EYInterstate Light" w:hAnsi="EYInterstate Light"/>
          <w:sz w:val="22"/>
          <w:szCs w:val="22"/>
          <w:lang w:val="en-GB"/>
        </w:rPr>
        <w:t>Ernst &amp; Young Audit Services LLC</w:t>
      </w:r>
    </w:p>
    <w:p w14:paraId="1E7BC970" w14:textId="77777777" w:rsidR="00E96820" w:rsidRPr="0025320F" w:rsidRDefault="00E96820" w:rsidP="001E03F9">
      <w:pPr>
        <w:pStyle w:val="NormalnTimes12AYbodytextTimes12Point10pointFlushleftGeneva1012pointFlushleftTimesFlushleftTimes10FlushleftTimes12JustifiedFlushLeftNormalproposalNormalpropPropmarginNormalmarginNorma"/>
        <w:widowControl/>
        <w:tabs>
          <w:tab w:val="clear" w:pos="620"/>
        </w:tabs>
        <w:ind w:right="6"/>
        <w:jc w:val="left"/>
        <w:rPr>
          <w:rFonts w:ascii="EYInterstate Light" w:hAnsi="EYInterstate Light"/>
          <w:sz w:val="22"/>
          <w:szCs w:val="22"/>
          <w:lang w:val="en-GB"/>
        </w:rPr>
      </w:pPr>
    </w:p>
    <w:p w14:paraId="0DEB9ADE" w14:textId="77777777" w:rsidR="00DC0921" w:rsidRPr="0025320F" w:rsidRDefault="00BB4CD6" w:rsidP="00585CFF">
      <w:pPr>
        <w:rPr>
          <w:lang w:val="en-GB"/>
        </w:rPr>
      </w:pPr>
      <w:r w:rsidRPr="0025320F">
        <w:rPr>
          <w:lang w:val="en-GB"/>
        </w:rPr>
        <w:t>Kyiv, Ukraine</w:t>
      </w:r>
    </w:p>
    <w:p w14:paraId="22A0F913" w14:textId="77777777" w:rsidR="00E96820" w:rsidRPr="0025320F" w:rsidRDefault="00E96820" w:rsidP="00585CFF">
      <w:pPr>
        <w:pStyle w:val="NormalnTimes12AYbodytextTimes12Point10pointFlushleftGeneva1012pointFlushleftTimesFlushleftTimes10FlushleftTimes12JustifiedFlushLeftNormalproposalNormalpropPropmarginNormalmarginNorma"/>
        <w:widowControl/>
        <w:ind w:right="6"/>
        <w:jc w:val="left"/>
        <w:rPr>
          <w:rFonts w:ascii="EYInterstate Light" w:hAnsi="EYInterstate Light"/>
          <w:sz w:val="22"/>
          <w:szCs w:val="22"/>
          <w:lang w:val="en-GB"/>
        </w:rPr>
      </w:pPr>
    </w:p>
    <w:p w14:paraId="14801580" w14:textId="575FABB6" w:rsidR="00067A91" w:rsidRDefault="00D560AF" w:rsidP="00A16684">
      <w:pPr>
        <w:rPr>
          <w:lang w:val="en-GB"/>
        </w:rPr>
      </w:pPr>
      <w:r>
        <w:rPr>
          <w:lang w:val="en-GB"/>
        </w:rPr>
        <w:t>6</w:t>
      </w:r>
      <w:r w:rsidR="00B667C6" w:rsidRPr="0025320F">
        <w:rPr>
          <w:lang w:val="en-GB"/>
        </w:rPr>
        <w:t xml:space="preserve"> </w:t>
      </w:r>
      <w:r>
        <w:rPr>
          <w:lang w:val="en-GB"/>
        </w:rPr>
        <w:t>April</w:t>
      </w:r>
      <w:r w:rsidR="00B667C6" w:rsidRPr="0025320F">
        <w:rPr>
          <w:lang w:val="en-GB"/>
        </w:rPr>
        <w:t xml:space="preserve"> 20</w:t>
      </w:r>
      <w:r w:rsidR="00875F85" w:rsidRPr="0025320F">
        <w:rPr>
          <w:lang w:val="en-GB"/>
        </w:rPr>
        <w:t>2</w:t>
      </w:r>
      <w:r w:rsidR="00372E30" w:rsidRPr="0025320F">
        <w:rPr>
          <w:lang w:val="en-GB"/>
        </w:rPr>
        <w:t>3</w:t>
      </w:r>
    </w:p>
    <w:p w14:paraId="58E8A21A" w14:textId="77777777" w:rsidR="0025320F" w:rsidRDefault="0025320F" w:rsidP="0025320F">
      <w:pPr>
        <w:pStyle w:val="NormalnTimes12AYbodytextTimes12Point10pointFlushleftGeneva1012pointFlushleftTimesFlushleftTimes10FlushleftTimes12JustifiedFlushLeftNormalproposalNormalpropPropmarginNormalmarginNorma"/>
        <w:ind w:right="6"/>
        <w:rPr>
          <w:rFonts w:ascii="EYInterstate Light" w:hAnsi="EYInterstate Light"/>
          <w:bCs/>
          <w:sz w:val="16"/>
          <w:szCs w:val="16"/>
          <w:lang w:val="en-GB"/>
        </w:rPr>
      </w:pPr>
    </w:p>
    <w:p w14:paraId="622B655A" w14:textId="77777777" w:rsidR="0025320F" w:rsidRPr="0025320F" w:rsidRDefault="0025320F" w:rsidP="0025320F">
      <w:pPr>
        <w:pStyle w:val="NormalnTimes12AYbodytextTimes12Point10pointFlushleftGeneva1012pointFlushleftTimesFlushleftTimes10FlushleftTimes12JustifiedFlushLeftNormalproposalNormalpropPropmarginNormalmarginNorma"/>
        <w:ind w:right="6"/>
        <w:rPr>
          <w:rFonts w:ascii="EYInterstate Light" w:hAnsi="EYInterstate Light"/>
          <w:bCs/>
          <w:sz w:val="16"/>
          <w:szCs w:val="16"/>
          <w:lang w:val="en-GB"/>
        </w:rPr>
      </w:pPr>
    </w:p>
    <w:p w14:paraId="5A57E537" w14:textId="77777777" w:rsidR="0025320F" w:rsidRPr="0025320F" w:rsidRDefault="0025320F" w:rsidP="0025320F">
      <w:pPr>
        <w:pStyle w:val="NormalnTimes12AYbodytextTimes12Point10pointFlushleftGeneva1012pointFlushleftTimesFlushleftTimes10FlushleftTimes12JustifiedFlushLeftNormalproposalNormalpropPropmarginNormalmarginNorma"/>
        <w:ind w:right="6"/>
        <w:rPr>
          <w:rFonts w:ascii="EYInterstate Light" w:hAnsi="EYInterstate Light"/>
          <w:bCs/>
          <w:sz w:val="16"/>
          <w:szCs w:val="16"/>
          <w:lang w:val="en-GB"/>
        </w:rPr>
      </w:pPr>
    </w:p>
    <w:p w14:paraId="41A9AE15" w14:textId="77777777" w:rsidR="0025320F" w:rsidRPr="0025320F" w:rsidRDefault="0025320F" w:rsidP="0025320F">
      <w:pPr>
        <w:pStyle w:val="NormalnTimes12AYbodytextTimes12Point10pointFlushleftGeneva1012pointFlushleftTimesFlushleftTimes10FlushleftTimes12JustifiedFlushLeftNormalproposalNormalpropPropmarginNormalmarginNorma"/>
        <w:ind w:right="6"/>
        <w:rPr>
          <w:rFonts w:ascii="EYInterstate Light" w:hAnsi="EYInterstate Light"/>
          <w:bCs/>
          <w:sz w:val="16"/>
          <w:szCs w:val="16"/>
          <w:lang w:val="en-GB"/>
        </w:rPr>
      </w:pPr>
    </w:p>
    <w:p w14:paraId="741F1DC8" w14:textId="77777777" w:rsidR="0025320F" w:rsidRPr="0025320F" w:rsidRDefault="0025320F" w:rsidP="0025320F">
      <w:pPr>
        <w:pStyle w:val="NormalnTimes12AYbodytextTimes12Point10pointFlushleftGeneva1012pointFlushleftTimesFlushleftTimes10FlushleftTimes12JustifiedFlushLeftNormalproposalNormalpropPropmarginNormalmarginNorma"/>
        <w:ind w:right="6"/>
        <w:rPr>
          <w:rFonts w:ascii="EYInterstate Light" w:hAnsi="EYInterstate Light"/>
          <w:bCs/>
          <w:sz w:val="16"/>
          <w:szCs w:val="16"/>
          <w:lang w:val="en-GB"/>
        </w:rPr>
      </w:pPr>
    </w:p>
    <w:p w14:paraId="21BE6EB0" w14:textId="77777777" w:rsidR="0025320F" w:rsidRPr="0025320F" w:rsidRDefault="0025320F" w:rsidP="0025320F">
      <w:pPr>
        <w:pStyle w:val="NormalnTimes12AYbodytextTimes12Point10pointFlushleftGeneva1012pointFlushleftTimesFlushleftTimes10FlushleftTimes12JustifiedFlushLeftNormalproposalNormalpropPropmarginNormalmarginNorma"/>
        <w:ind w:right="6"/>
        <w:rPr>
          <w:rFonts w:ascii="EYInterstate Light" w:hAnsi="EYInterstate Light"/>
          <w:bCs/>
          <w:sz w:val="16"/>
          <w:szCs w:val="16"/>
          <w:lang w:val="en-GB"/>
        </w:rPr>
      </w:pPr>
    </w:p>
    <w:p w14:paraId="71A0A237" w14:textId="77777777" w:rsidR="0025320F" w:rsidRPr="0025320F" w:rsidRDefault="0025320F" w:rsidP="0025320F">
      <w:pPr>
        <w:pStyle w:val="NormalnTimes12AYbodytextTimes12Point10pointFlushleftGeneva1012pointFlushleftTimesFlushleftTimes10FlushleftTimes12JustifiedFlushLeftNormalproposalNormalpropPropmarginNormalmarginNorma"/>
        <w:ind w:right="6"/>
        <w:rPr>
          <w:rFonts w:ascii="EYInterstate Light" w:hAnsi="EYInterstate Light"/>
          <w:bCs/>
          <w:sz w:val="16"/>
          <w:szCs w:val="16"/>
          <w:lang w:val="en-GB"/>
        </w:rPr>
      </w:pPr>
    </w:p>
    <w:p w14:paraId="41E460FF" w14:textId="77777777" w:rsidR="0025320F" w:rsidRPr="0025320F" w:rsidRDefault="0025320F" w:rsidP="0025320F">
      <w:pPr>
        <w:pStyle w:val="NormalnTimes12AYbodytextTimes12Point10pointFlushleftGeneva1012pointFlushleftTimesFlushleftTimes10FlushleftTimes12JustifiedFlushLeftNormalproposalNormalpropPropmarginNormalmarginNorma"/>
        <w:ind w:right="6"/>
        <w:rPr>
          <w:rFonts w:ascii="EYInterstate Light" w:hAnsi="EYInterstate Light"/>
          <w:bCs/>
          <w:sz w:val="16"/>
          <w:szCs w:val="16"/>
          <w:lang w:val="en-GB"/>
        </w:rPr>
      </w:pPr>
    </w:p>
    <w:p w14:paraId="08216B29" w14:textId="77777777" w:rsidR="0025320F" w:rsidRPr="0025320F" w:rsidRDefault="0025320F" w:rsidP="0025320F">
      <w:pPr>
        <w:pStyle w:val="NormalnTimes12AYbodytextTimes12Point10pointFlushleftGeneva1012pointFlushleftTimesFlushleftTimes10FlushleftTimes12JustifiedFlushLeftNormalproposalNormalpropPropmarginNormalmarginNorma"/>
        <w:ind w:right="6"/>
        <w:rPr>
          <w:rFonts w:ascii="EYInterstate Light" w:hAnsi="EYInterstate Light"/>
          <w:bCs/>
          <w:sz w:val="16"/>
          <w:szCs w:val="16"/>
          <w:lang w:val="en-GB"/>
        </w:rPr>
      </w:pPr>
    </w:p>
    <w:p w14:paraId="20004C08" w14:textId="77777777" w:rsidR="0025320F" w:rsidRPr="0025320F" w:rsidRDefault="0025320F" w:rsidP="0025320F">
      <w:pPr>
        <w:pStyle w:val="NormalnTimes12AYbodytextTimes12Point10pointFlushleftGeneva1012pointFlushleftTimesFlushleftTimes10FlushleftTimes12JustifiedFlushLeftNormalproposalNormalpropPropmarginNormalmarginNorma"/>
        <w:ind w:right="6"/>
        <w:rPr>
          <w:rFonts w:ascii="EYInterstate Light" w:hAnsi="EYInterstate Light"/>
          <w:bCs/>
          <w:sz w:val="16"/>
          <w:szCs w:val="16"/>
          <w:lang w:val="en-GB"/>
        </w:rPr>
      </w:pPr>
    </w:p>
    <w:p w14:paraId="0DA92400" w14:textId="77777777" w:rsidR="0025320F" w:rsidRPr="0025320F" w:rsidRDefault="0025320F" w:rsidP="0025320F">
      <w:pPr>
        <w:pStyle w:val="NormalnTimes12AYbodytextTimes12Point10pointFlushleftGeneva1012pointFlushleftTimesFlushleftTimes10FlushleftTimes12JustifiedFlushLeftNormalproposalNormalpropPropmarginNormalmarginNorma"/>
        <w:ind w:right="6"/>
        <w:rPr>
          <w:rFonts w:ascii="EYInterstate Light" w:hAnsi="EYInterstate Light"/>
          <w:bCs/>
          <w:sz w:val="16"/>
          <w:szCs w:val="16"/>
          <w:lang w:val="en-GB"/>
        </w:rPr>
      </w:pPr>
    </w:p>
    <w:p w14:paraId="44AFBC03" w14:textId="77777777" w:rsidR="0025320F" w:rsidRPr="0025320F" w:rsidRDefault="0025320F" w:rsidP="0025320F">
      <w:pPr>
        <w:pStyle w:val="NormalnTimes12AYbodytextTimes12Point10pointFlushleftGeneva1012pointFlushleftTimesFlushleftTimes10FlushleftTimes12JustifiedFlushLeftNormalproposalNormalpropPropmarginNormalmarginNorma"/>
        <w:ind w:right="6"/>
        <w:rPr>
          <w:rFonts w:ascii="EYInterstate Light" w:hAnsi="EYInterstate Light"/>
          <w:bCs/>
          <w:sz w:val="16"/>
          <w:szCs w:val="16"/>
          <w:lang w:val="en-GB"/>
        </w:rPr>
      </w:pPr>
    </w:p>
    <w:p w14:paraId="7ADCA96E" w14:textId="2CD6BA24" w:rsidR="0025320F" w:rsidRPr="0025320F" w:rsidRDefault="0025320F" w:rsidP="0025320F">
      <w:pPr>
        <w:pStyle w:val="NormalnTimes12AYbodytextTimes12Point10pointFlushleftGeneva1012pointFlushleftTimesFlushleftTimes10FlushleftTimes12JustifiedFlushLeftNormalproposalNormalpropPropmarginNormalmarginNorma"/>
        <w:ind w:right="6"/>
        <w:rPr>
          <w:rFonts w:ascii="EYInterstate Light" w:hAnsi="EYInterstate Light"/>
          <w:bCs/>
          <w:sz w:val="16"/>
          <w:szCs w:val="16"/>
          <w:lang w:val="en-GB"/>
        </w:rPr>
      </w:pPr>
      <w:r w:rsidRPr="0025320F">
        <w:rPr>
          <w:rFonts w:ascii="EYInterstate Light" w:hAnsi="EYInterstate Light"/>
          <w:bCs/>
          <w:sz w:val="16"/>
          <w:szCs w:val="16"/>
          <w:lang w:val="en-GB"/>
        </w:rPr>
        <w:t xml:space="preserve">Ernst &amp; Young Audit Services LLC is included in </w:t>
      </w:r>
    </w:p>
    <w:p w14:paraId="7E5CD8B1" w14:textId="77777777" w:rsidR="0025320F" w:rsidRPr="0025320F" w:rsidRDefault="0025320F" w:rsidP="0025320F">
      <w:pPr>
        <w:pStyle w:val="NormalnTimes12AYbodytextTimes12Point10pointFlushleftGeneva1012pointFlushleftTimesFlushleftTimes10FlushleftTimes12JustifiedFlushLeftNormalproposalNormalpropPropmarginNormalmarginNorma"/>
        <w:ind w:right="6"/>
        <w:rPr>
          <w:rFonts w:ascii="EYInterstate Light" w:hAnsi="EYInterstate Light"/>
          <w:bCs/>
          <w:sz w:val="16"/>
          <w:szCs w:val="16"/>
          <w:lang w:val="en-GB"/>
        </w:rPr>
      </w:pPr>
      <w:r w:rsidRPr="0025320F">
        <w:rPr>
          <w:rFonts w:ascii="EYInterstate Light" w:hAnsi="EYInterstate Light"/>
          <w:bCs/>
          <w:sz w:val="16"/>
          <w:szCs w:val="16"/>
          <w:lang w:val="en-GB"/>
        </w:rPr>
        <w:t xml:space="preserve">the Register of auditors and audit firms, that is maintained by Audit Public Oversight Body of Ukraine. </w:t>
      </w:r>
    </w:p>
    <w:p w14:paraId="04934EAE" w14:textId="4AF208B1" w:rsidR="00B941C1" w:rsidRPr="0025320F" w:rsidRDefault="0025320F" w:rsidP="0025320F">
      <w:pPr>
        <w:pStyle w:val="NormalnTimes12AYbodytextTimes12Point10pointFlushleftGeneva1012pointFlushleftTimesFlushleftTimes10FlushleftTimes12JustifiedFlushLeftNormalproposalNormalpropPropmarginNormalmarginNorma"/>
        <w:widowControl/>
        <w:ind w:right="6"/>
        <w:jc w:val="left"/>
        <w:rPr>
          <w:rFonts w:ascii="EYInterstate Light" w:hAnsi="EYInterstate Light"/>
          <w:lang w:val="en-GB"/>
        </w:rPr>
      </w:pPr>
      <w:r w:rsidRPr="0025320F">
        <w:rPr>
          <w:rFonts w:ascii="EYInterstate Light" w:hAnsi="EYInterstate Light"/>
          <w:bCs/>
          <w:sz w:val="16"/>
          <w:szCs w:val="16"/>
          <w:lang w:val="en-GB"/>
        </w:rPr>
        <w:t>Registration number: 3516</w:t>
      </w:r>
      <w:r w:rsidR="00B941C1" w:rsidRPr="0025320F">
        <w:rPr>
          <w:rFonts w:ascii="EYInterstate Light" w:hAnsi="EYInterstate Light" w:cs="EYInterstate Light"/>
          <w:color w:val="000000"/>
          <w:sz w:val="16"/>
          <w:szCs w:val="16"/>
          <w:lang w:val="en-GB"/>
        </w:rPr>
        <w:t>.</w:t>
      </w:r>
    </w:p>
    <w:sectPr w:rsidR="00B941C1" w:rsidRPr="0025320F" w:rsidSect="00014749">
      <w:headerReference w:type="even" r:id="rId8"/>
      <w:headerReference w:type="default" r:id="rId9"/>
      <w:footerReference w:type="even" r:id="rId10"/>
      <w:footerReference w:type="default" r:id="rId11"/>
      <w:headerReference w:type="first" r:id="rId12"/>
      <w:footerReference w:type="first" r:id="rId13"/>
      <w:pgSz w:w="11906" w:h="16838" w:code="9"/>
      <w:pgMar w:top="2552" w:right="851" w:bottom="851"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81B91" w14:textId="77777777" w:rsidR="000F6F11" w:rsidRDefault="000F6F11" w:rsidP="00DC0921">
      <w:r>
        <w:separator/>
      </w:r>
    </w:p>
  </w:endnote>
  <w:endnote w:type="continuationSeparator" w:id="0">
    <w:p w14:paraId="3C18EBC9" w14:textId="77777777" w:rsidR="000F6F11" w:rsidRDefault="000F6F11" w:rsidP="00DC0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panose1 w:val="02000503020000020004"/>
    <w:charset w:val="CC"/>
    <w:family w:val="auto"/>
    <w:pitch w:val="variable"/>
    <w:sig w:usb0="800002AF" w:usb1="5000204A"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EYInterstate Light">
    <w:altName w:val="Calibri"/>
    <w:panose1 w:val="02000506000000020004"/>
    <w:charset w:val="CC"/>
    <w:family w:val="auto"/>
    <w:pitch w:val="variable"/>
    <w:sig w:usb0="A00002AF" w:usb1="5000206A"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88CD" w14:textId="77777777" w:rsidR="00707942" w:rsidRDefault="007079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397386"/>
      <w:docPartObj>
        <w:docPartGallery w:val="Page Numbers (Bottom of Page)"/>
        <w:docPartUnique/>
      </w:docPartObj>
    </w:sdtPr>
    <w:sdtEndPr>
      <w:rPr>
        <w:noProof/>
      </w:rPr>
    </w:sdtEndPr>
    <w:sdtContent>
      <w:p w14:paraId="3F71E435" w14:textId="77777777" w:rsidR="00E84B17" w:rsidRDefault="00FF5DA0" w:rsidP="00A16684">
        <w:pPr>
          <w:pStyle w:val="Footer"/>
          <w:jc w:val="right"/>
        </w:pPr>
        <w:r>
          <w:fldChar w:fldCharType="begin"/>
        </w:r>
        <w:r>
          <w:instrText xml:space="preserve"> PAGE   \* MERGEFORMAT </w:instrText>
        </w:r>
        <w:r>
          <w:fldChar w:fldCharType="separate"/>
        </w:r>
        <w:r w:rsidR="00822A8C">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CD8CE" w14:textId="77777777" w:rsidR="00707942" w:rsidRDefault="00707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9CB07" w14:textId="77777777" w:rsidR="000F6F11" w:rsidRPr="00A16684" w:rsidRDefault="000F6F11" w:rsidP="00FF5DA0">
      <w:pPr>
        <w:rPr>
          <w:sz w:val="18"/>
          <w:szCs w:val="18"/>
        </w:rPr>
      </w:pPr>
      <w:r w:rsidRPr="00A16684">
        <w:rPr>
          <w:sz w:val="18"/>
          <w:szCs w:val="18"/>
        </w:rPr>
        <w:separator/>
      </w:r>
    </w:p>
  </w:footnote>
  <w:footnote w:type="continuationSeparator" w:id="0">
    <w:p w14:paraId="08003943" w14:textId="77777777" w:rsidR="000F6F11" w:rsidRDefault="000F6F11" w:rsidP="00DC0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B2A4D" w14:textId="736221D1" w:rsidR="00707942" w:rsidRDefault="007079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15B6" w14:textId="16B84D68" w:rsidR="00E84B17" w:rsidRPr="00C174E0" w:rsidRDefault="00C174E0" w:rsidP="00C174E0">
    <w:pPr>
      <w:pStyle w:val="Header"/>
      <w:jc w:val="center"/>
      <w:rPr>
        <w:i/>
        <w:lang w:val="en-US"/>
      </w:rPr>
    </w:pPr>
    <w:r w:rsidRPr="00C174E0">
      <w:rPr>
        <w:i/>
        <w:lang w:val="en-US"/>
      </w:rPr>
      <w:t xml:space="preserve">Translation </w:t>
    </w:r>
    <w:r w:rsidR="00F73018">
      <w:rPr>
        <w:i/>
        <w:lang w:val="en-US"/>
      </w:rPr>
      <w:t>from</w:t>
    </w:r>
    <w:r w:rsidRPr="00C174E0">
      <w:rPr>
        <w:i/>
        <w:lang w:val="en-US"/>
      </w:rPr>
      <w:t xml:space="preserve"> Ukrainian </w:t>
    </w:r>
    <w:r w:rsidR="00F73018">
      <w:rPr>
        <w:i/>
        <w:lang w:val="en-US"/>
      </w:rPr>
      <w:t>original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3D5B" w14:textId="1D738280" w:rsidR="00707942" w:rsidRDefault="007079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711"/>
    <w:multiLevelType w:val="multilevel"/>
    <w:tmpl w:val="F12CB758"/>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rPr>
        <w:rFonts w:hint="default"/>
      </w:rPr>
    </w:lvl>
    <w:lvl w:ilvl="3">
      <w:start w:val="1"/>
      <w:numFmt w:val="decimal"/>
      <w:lvlText w:val="%4."/>
      <w:lvlJc w:val="left"/>
      <w:pPr>
        <w:tabs>
          <w:tab w:val="num" w:pos="2784"/>
        </w:tabs>
        <w:ind w:left="2784" w:hanging="570"/>
      </w:pPr>
      <w:rPr>
        <w:rFonts w:hint="default"/>
        <w:b w:val="0"/>
      </w:rPr>
    </w:lvl>
    <w:lvl w:ilvl="4">
      <w:start w:val="1"/>
      <w:numFmt w:val="lowerLetter"/>
      <w:lvlText w:val="%5."/>
      <w:lvlJc w:val="left"/>
      <w:pPr>
        <w:tabs>
          <w:tab w:val="num" w:pos="3294"/>
        </w:tabs>
        <w:ind w:left="3294" w:hanging="360"/>
      </w:pPr>
      <w:rPr>
        <w:rFonts w:hint="default"/>
      </w:rPr>
    </w:lvl>
    <w:lvl w:ilvl="5">
      <w:start w:val="1"/>
      <w:numFmt w:val="lowerRoman"/>
      <w:lvlText w:val="%6."/>
      <w:lvlJc w:val="right"/>
      <w:pPr>
        <w:tabs>
          <w:tab w:val="num" w:pos="4014"/>
        </w:tabs>
        <w:ind w:left="4014" w:hanging="180"/>
      </w:pPr>
      <w:rPr>
        <w:rFonts w:hint="default"/>
      </w:rPr>
    </w:lvl>
    <w:lvl w:ilvl="6">
      <w:start w:val="1"/>
      <w:numFmt w:val="decimal"/>
      <w:lvlText w:val="%7."/>
      <w:lvlJc w:val="left"/>
      <w:pPr>
        <w:tabs>
          <w:tab w:val="num" w:pos="4734"/>
        </w:tabs>
        <w:ind w:left="4734" w:hanging="360"/>
      </w:pPr>
      <w:rPr>
        <w:rFonts w:hint="default"/>
      </w:rPr>
    </w:lvl>
    <w:lvl w:ilvl="7">
      <w:start w:val="1"/>
      <w:numFmt w:val="lowerLetter"/>
      <w:lvlText w:val="%8."/>
      <w:lvlJc w:val="left"/>
      <w:pPr>
        <w:tabs>
          <w:tab w:val="num" w:pos="5454"/>
        </w:tabs>
        <w:ind w:left="5454" w:hanging="360"/>
      </w:pPr>
      <w:rPr>
        <w:rFonts w:hint="default"/>
      </w:rPr>
    </w:lvl>
    <w:lvl w:ilvl="8">
      <w:start w:val="1"/>
      <w:numFmt w:val="lowerRoman"/>
      <w:lvlText w:val="%9."/>
      <w:lvlJc w:val="right"/>
      <w:pPr>
        <w:tabs>
          <w:tab w:val="num" w:pos="6174"/>
        </w:tabs>
        <w:ind w:left="6174" w:hanging="180"/>
      </w:pPr>
      <w:rPr>
        <w:rFonts w:hint="default"/>
      </w:rPr>
    </w:lvl>
  </w:abstractNum>
  <w:abstractNum w:abstractNumId="1" w15:restartNumberingAfterBreak="0">
    <w:nsid w:val="00D10ECF"/>
    <w:multiLevelType w:val="hybridMultilevel"/>
    <w:tmpl w:val="7B62DC3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1EC5704"/>
    <w:multiLevelType w:val="hybridMultilevel"/>
    <w:tmpl w:val="EC54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D4B6D"/>
    <w:multiLevelType w:val="hybridMultilevel"/>
    <w:tmpl w:val="05C4A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0585D"/>
    <w:multiLevelType w:val="hybridMultilevel"/>
    <w:tmpl w:val="BEC2BEEE"/>
    <w:lvl w:ilvl="0" w:tplc="22F8EE5E">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D2925"/>
    <w:multiLevelType w:val="hybridMultilevel"/>
    <w:tmpl w:val="65DAE1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365B6"/>
    <w:multiLevelType w:val="hybridMultilevel"/>
    <w:tmpl w:val="6DAE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C4D45"/>
    <w:multiLevelType w:val="hybridMultilevel"/>
    <w:tmpl w:val="AFB676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2F6E5539"/>
    <w:multiLevelType w:val="hybridMultilevel"/>
    <w:tmpl w:val="C61EECFC"/>
    <w:lvl w:ilvl="0" w:tplc="FD38D612">
      <w:start w:val="1"/>
      <w:numFmt w:val="bullet"/>
      <w:pStyle w:val="EYBullet1"/>
      <w:lvlText w:val="•"/>
      <w:lvlJc w:val="left"/>
      <w:pPr>
        <w:ind w:left="415" w:hanging="375"/>
      </w:pPr>
      <w:rPr>
        <w:rFonts w:ascii="EYInterstate" w:hAnsi="EYInterstate" w:hint="default"/>
        <w:color w:val="808080"/>
        <w:sz w:val="20"/>
      </w:rPr>
    </w:lvl>
    <w:lvl w:ilvl="1" w:tplc="08090003">
      <w:start w:val="1"/>
      <w:numFmt w:val="bullet"/>
      <w:lvlText w:val="o"/>
      <w:lvlJc w:val="left"/>
      <w:pPr>
        <w:ind w:left="1120" w:hanging="360"/>
      </w:pPr>
      <w:rPr>
        <w:rFonts w:ascii="Courier New" w:hAnsi="Courier New" w:cs="Courier New" w:hint="default"/>
      </w:rPr>
    </w:lvl>
    <w:lvl w:ilvl="2" w:tplc="08090005">
      <w:start w:val="1"/>
      <w:numFmt w:val="bullet"/>
      <w:lvlText w:val=""/>
      <w:lvlJc w:val="left"/>
      <w:pPr>
        <w:ind w:left="1840" w:hanging="360"/>
      </w:pPr>
      <w:rPr>
        <w:rFonts w:ascii="Wingdings" w:hAnsi="Wingdings" w:hint="default"/>
      </w:rPr>
    </w:lvl>
    <w:lvl w:ilvl="3" w:tplc="0809000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9" w15:restartNumberingAfterBreak="0">
    <w:nsid w:val="37D35CF2"/>
    <w:multiLevelType w:val="multilevel"/>
    <w:tmpl w:val="DE16A648"/>
    <w:lvl w:ilvl="0">
      <w:start w:val="1"/>
      <w:numFmt w:val="bullet"/>
      <w:pStyle w:val="IFACBulletList1"/>
      <w:lvlText w:val=""/>
      <w:lvlJc w:val="left"/>
      <w:pPr>
        <w:ind w:left="360" w:hanging="360"/>
      </w:pPr>
      <w:rPr>
        <w:rFonts w:ascii="Symbol" w:hAnsi="Symbol" w:hint="default"/>
        <w:sz w:val="20"/>
      </w:rPr>
    </w:lvl>
    <w:lvl w:ilvl="1">
      <w:start w:val="1"/>
      <w:numFmt w:val="bullet"/>
      <w:lvlText w:val="o"/>
      <w:lvlJc w:val="left"/>
      <w:pPr>
        <w:ind w:left="1094" w:hanging="547"/>
      </w:pPr>
      <w:rPr>
        <w:rFonts w:ascii="Courier New" w:hAnsi="Courier New" w:cs="Courier New" w:hint="default"/>
      </w:rPr>
    </w:lvl>
    <w:lvl w:ilvl="2">
      <w:start w:val="1"/>
      <w:numFmt w:val="bullet"/>
      <w:pStyle w:val="IFACBulletList3"/>
      <w:lvlText w:val="–"/>
      <w:lvlJc w:val="left"/>
      <w:pPr>
        <w:ind w:left="1641" w:hanging="547"/>
      </w:pPr>
      <w:rPr>
        <w:rFonts w:ascii="Times New Roman" w:hAnsi="Times New Roman" w:cs="Times New Roman" w:hint="default"/>
      </w:rPr>
    </w:lvl>
    <w:lvl w:ilvl="3">
      <w:start w:val="1"/>
      <w:numFmt w:val="decimal"/>
      <w:lvlText w:val="(%4)"/>
      <w:lvlJc w:val="left"/>
      <w:pPr>
        <w:ind w:left="2188" w:hanging="547"/>
      </w:pPr>
      <w:rPr>
        <w:rFonts w:hint="default"/>
      </w:rPr>
    </w:lvl>
    <w:lvl w:ilvl="4">
      <w:start w:val="1"/>
      <w:numFmt w:val="lowerLetter"/>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0" w15:restartNumberingAfterBreak="0">
    <w:nsid w:val="3B1C5490"/>
    <w:multiLevelType w:val="hybridMultilevel"/>
    <w:tmpl w:val="6B4CB248"/>
    <w:lvl w:ilvl="0" w:tplc="FFFFFFFF">
      <w:start w:val="1"/>
      <w:numFmt w:val="bullet"/>
      <w:lvlText w:val=""/>
      <w:lvlJc w:val="left"/>
      <w:pPr>
        <w:tabs>
          <w:tab w:val="num" w:pos="360"/>
        </w:tabs>
        <w:ind w:left="360" w:hanging="360"/>
      </w:pPr>
      <w:rPr>
        <w:rFonts w:ascii="Symbol" w:hAnsi="Symbol" w:hint="default"/>
        <w:sz w:val="20"/>
        <w:szCs w:val="20"/>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3D720E88"/>
    <w:multiLevelType w:val="hybridMultilevel"/>
    <w:tmpl w:val="3B40864C"/>
    <w:lvl w:ilvl="0" w:tplc="43D6EF76">
      <w:start w:val="1"/>
      <w:numFmt w:val="bullet"/>
      <w:lvlText w:val="►"/>
      <w:lvlJc w:val="left"/>
      <w:pPr>
        <w:ind w:left="720" w:hanging="360"/>
      </w:pPr>
      <w:rPr>
        <w:rFonts w:ascii="Arial" w:hAnsi="Aria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92285"/>
    <w:multiLevelType w:val="hybridMultilevel"/>
    <w:tmpl w:val="ED045B7C"/>
    <w:lvl w:ilvl="0" w:tplc="AA62EE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BB5661"/>
    <w:multiLevelType w:val="hybridMultilevel"/>
    <w:tmpl w:val="23FE1320"/>
    <w:lvl w:ilvl="0" w:tplc="43D6EF76">
      <w:start w:val="1"/>
      <w:numFmt w:val="bullet"/>
      <w:lvlText w:val="►"/>
      <w:lvlJc w:val="left"/>
      <w:pPr>
        <w:ind w:left="720" w:hanging="360"/>
      </w:pPr>
      <w:rPr>
        <w:rFonts w:ascii="Arial" w:hAnsi="Aria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817B73"/>
    <w:multiLevelType w:val="hybridMultilevel"/>
    <w:tmpl w:val="77EC041A"/>
    <w:lvl w:ilvl="0" w:tplc="AA62EE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AA3A63"/>
    <w:multiLevelType w:val="hybridMultilevel"/>
    <w:tmpl w:val="2F5413A6"/>
    <w:lvl w:ilvl="0" w:tplc="04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num w:numId="1">
    <w:abstractNumId w:val="9"/>
  </w:num>
  <w:num w:numId="2">
    <w:abstractNumId w:val="4"/>
  </w:num>
  <w:num w:numId="3">
    <w:abstractNumId w:val="10"/>
  </w:num>
  <w:num w:numId="4">
    <w:abstractNumId w:val="0"/>
  </w:num>
  <w:num w:numId="5">
    <w:abstractNumId w:val="8"/>
  </w:num>
  <w:num w:numId="6">
    <w:abstractNumId w:val="1"/>
  </w:num>
  <w:num w:numId="7">
    <w:abstractNumId w:val="7"/>
  </w:num>
  <w:num w:numId="8">
    <w:abstractNumId w:val="12"/>
  </w:num>
  <w:num w:numId="9">
    <w:abstractNumId w:val="14"/>
  </w:num>
  <w:num w:numId="10">
    <w:abstractNumId w:val="11"/>
  </w:num>
  <w:num w:numId="11">
    <w:abstractNumId w:val="13"/>
  </w:num>
  <w:num w:numId="12">
    <w:abstractNumId w:val="5"/>
  </w:num>
  <w:num w:numId="13">
    <w:abstractNumId w:val="3"/>
  </w:num>
  <w:num w:numId="14">
    <w:abstractNumId w:val="2"/>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921"/>
    <w:rsid w:val="00002736"/>
    <w:rsid w:val="00002D8B"/>
    <w:rsid w:val="00004C8D"/>
    <w:rsid w:val="000076B7"/>
    <w:rsid w:val="00007889"/>
    <w:rsid w:val="00014749"/>
    <w:rsid w:val="0002042B"/>
    <w:rsid w:val="00023875"/>
    <w:rsid w:val="00027540"/>
    <w:rsid w:val="00042F5A"/>
    <w:rsid w:val="000463CA"/>
    <w:rsid w:val="00050963"/>
    <w:rsid w:val="0005223C"/>
    <w:rsid w:val="000671E8"/>
    <w:rsid w:val="00067A91"/>
    <w:rsid w:val="00067F77"/>
    <w:rsid w:val="000711DA"/>
    <w:rsid w:val="000751A3"/>
    <w:rsid w:val="000758EB"/>
    <w:rsid w:val="000806E3"/>
    <w:rsid w:val="000A600D"/>
    <w:rsid w:val="000B2A86"/>
    <w:rsid w:val="000C0234"/>
    <w:rsid w:val="000D552A"/>
    <w:rsid w:val="000E71E1"/>
    <w:rsid w:val="000F3291"/>
    <w:rsid w:val="000F33A9"/>
    <w:rsid w:val="000F6F11"/>
    <w:rsid w:val="000F779A"/>
    <w:rsid w:val="0010362B"/>
    <w:rsid w:val="00105988"/>
    <w:rsid w:val="0010747E"/>
    <w:rsid w:val="0011088D"/>
    <w:rsid w:val="001200BD"/>
    <w:rsid w:val="00120711"/>
    <w:rsid w:val="00121A3C"/>
    <w:rsid w:val="00124EA4"/>
    <w:rsid w:val="0012551F"/>
    <w:rsid w:val="001400BF"/>
    <w:rsid w:val="00141270"/>
    <w:rsid w:val="00142CC1"/>
    <w:rsid w:val="00143515"/>
    <w:rsid w:val="00144665"/>
    <w:rsid w:val="001455E7"/>
    <w:rsid w:val="00153387"/>
    <w:rsid w:val="0016287A"/>
    <w:rsid w:val="0017102B"/>
    <w:rsid w:val="00175121"/>
    <w:rsid w:val="0017618D"/>
    <w:rsid w:val="00176B1B"/>
    <w:rsid w:val="00180400"/>
    <w:rsid w:val="00180833"/>
    <w:rsid w:val="00180893"/>
    <w:rsid w:val="00187B0E"/>
    <w:rsid w:val="00187CEC"/>
    <w:rsid w:val="00187FBF"/>
    <w:rsid w:val="00191EC3"/>
    <w:rsid w:val="00192A00"/>
    <w:rsid w:val="001A46BF"/>
    <w:rsid w:val="001A5769"/>
    <w:rsid w:val="001A7D92"/>
    <w:rsid w:val="001B0837"/>
    <w:rsid w:val="001B08C6"/>
    <w:rsid w:val="001B0AFD"/>
    <w:rsid w:val="001B2668"/>
    <w:rsid w:val="001B4A10"/>
    <w:rsid w:val="001C2239"/>
    <w:rsid w:val="001C5949"/>
    <w:rsid w:val="001C64B8"/>
    <w:rsid w:val="001C6BD2"/>
    <w:rsid w:val="001D086F"/>
    <w:rsid w:val="001D3C7C"/>
    <w:rsid w:val="001D7611"/>
    <w:rsid w:val="001E03F9"/>
    <w:rsid w:val="001F325D"/>
    <w:rsid w:val="001F3428"/>
    <w:rsid w:val="001F5868"/>
    <w:rsid w:val="00200193"/>
    <w:rsid w:val="002023F1"/>
    <w:rsid w:val="002028F1"/>
    <w:rsid w:val="002045BF"/>
    <w:rsid w:val="00212BEC"/>
    <w:rsid w:val="00217F37"/>
    <w:rsid w:val="00222560"/>
    <w:rsid w:val="00223670"/>
    <w:rsid w:val="00234930"/>
    <w:rsid w:val="0024265C"/>
    <w:rsid w:val="00244731"/>
    <w:rsid w:val="002469F1"/>
    <w:rsid w:val="002502DF"/>
    <w:rsid w:val="00251693"/>
    <w:rsid w:val="00252B6D"/>
    <w:rsid w:val="0025320F"/>
    <w:rsid w:val="00257049"/>
    <w:rsid w:val="00257CC6"/>
    <w:rsid w:val="00263A2C"/>
    <w:rsid w:val="00264BB9"/>
    <w:rsid w:val="00271A36"/>
    <w:rsid w:val="002745B8"/>
    <w:rsid w:val="00276447"/>
    <w:rsid w:val="00280EE1"/>
    <w:rsid w:val="0028421E"/>
    <w:rsid w:val="00284E33"/>
    <w:rsid w:val="00292147"/>
    <w:rsid w:val="002A219D"/>
    <w:rsid w:val="002A4A2C"/>
    <w:rsid w:val="002A7E12"/>
    <w:rsid w:val="002B3D0F"/>
    <w:rsid w:val="002C7C38"/>
    <w:rsid w:val="002D0323"/>
    <w:rsid w:val="002D3BAA"/>
    <w:rsid w:val="002E12AA"/>
    <w:rsid w:val="002E18A4"/>
    <w:rsid w:val="002E28F1"/>
    <w:rsid w:val="002E2C80"/>
    <w:rsid w:val="002E5806"/>
    <w:rsid w:val="002E584F"/>
    <w:rsid w:val="002F7E0E"/>
    <w:rsid w:val="00300477"/>
    <w:rsid w:val="00300C7F"/>
    <w:rsid w:val="00302AA9"/>
    <w:rsid w:val="00306C7A"/>
    <w:rsid w:val="00311576"/>
    <w:rsid w:val="00321A54"/>
    <w:rsid w:val="00322C34"/>
    <w:rsid w:val="00323287"/>
    <w:rsid w:val="00323D2C"/>
    <w:rsid w:val="00326861"/>
    <w:rsid w:val="00330331"/>
    <w:rsid w:val="003328F1"/>
    <w:rsid w:val="003355D3"/>
    <w:rsid w:val="00336AD0"/>
    <w:rsid w:val="003455AD"/>
    <w:rsid w:val="003462E5"/>
    <w:rsid w:val="003468DA"/>
    <w:rsid w:val="00346ECE"/>
    <w:rsid w:val="003608C9"/>
    <w:rsid w:val="00360FAE"/>
    <w:rsid w:val="00362CE0"/>
    <w:rsid w:val="0036444A"/>
    <w:rsid w:val="003651E6"/>
    <w:rsid w:val="003712DB"/>
    <w:rsid w:val="00372E30"/>
    <w:rsid w:val="00376882"/>
    <w:rsid w:val="00377079"/>
    <w:rsid w:val="00381402"/>
    <w:rsid w:val="00391EE5"/>
    <w:rsid w:val="00392ACF"/>
    <w:rsid w:val="00394538"/>
    <w:rsid w:val="00394FF1"/>
    <w:rsid w:val="003A409C"/>
    <w:rsid w:val="003A7FDB"/>
    <w:rsid w:val="003B1AA7"/>
    <w:rsid w:val="003B5A81"/>
    <w:rsid w:val="003B6AE3"/>
    <w:rsid w:val="003C089B"/>
    <w:rsid w:val="003C12FE"/>
    <w:rsid w:val="003D33D5"/>
    <w:rsid w:val="003E5A2F"/>
    <w:rsid w:val="003F0C15"/>
    <w:rsid w:val="00403CF6"/>
    <w:rsid w:val="00413152"/>
    <w:rsid w:val="00413CE5"/>
    <w:rsid w:val="00427BB3"/>
    <w:rsid w:val="00436D6B"/>
    <w:rsid w:val="00437C1F"/>
    <w:rsid w:val="0044324B"/>
    <w:rsid w:val="004438F1"/>
    <w:rsid w:val="00450B95"/>
    <w:rsid w:val="00452125"/>
    <w:rsid w:val="004606AF"/>
    <w:rsid w:val="00462391"/>
    <w:rsid w:val="00464E46"/>
    <w:rsid w:val="00470210"/>
    <w:rsid w:val="00472980"/>
    <w:rsid w:val="0048676C"/>
    <w:rsid w:val="00487761"/>
    <w:rsid w:val="004904FC"/>
    <w:rsid w:val="0049136D"/>
    <w:rsid w:val="00491A1D"/>
    <w:rsid w:val="00491EF9"/>
    <w:rsid w:val="00492BFE"/>
    <w:rsid w:val="004948E8"/>
    <w:rsid w:val="00497D37"/>
    <w:rsid w:val="004A3A36"/>
    <w:rsid w:val="004A3D4E"/>
    <w:rsid w:val="004B0450"/>
    <w:rsid w:val="004B0DA2"/>
    <w:rsid w:val="004B407A"/>
    <w:rsid w:val="004C5909"/>
    <w:rsid w:val="004C648C"/>
    <w:rsid w:val="004E4410"/>
    <w:rsid w:val="004E6029"/>
    <w:rsid w:val="004E6FD5"/>
    <w:rsid w:val="004E74BF"/>
    <w:rsid w:val="004E7E45"/>
    <w:rsid w:val="004F1176"/>
    <w:rsid w:val="004F12E0"/>
    <w:rsid w:val="004F2FB0"/>
    <w:rsid w:val="004F3EC0"/>
    <w:rsid w:val="004F4F0D"/>
    <w:rsid w:val="004F5254"/>
    <w:rsid w:val="00507A13"/>
    <w:rsid w:val="00512C88"/>
    <w:rsid w:val="00515877"/>
    <w:rsid w:val="005174E9"/>
    <w:rsid w:val="0052071A"/>
    <w:rsid w:val="00522D15"/>
    <w:rsid w:val="00523C71"/>
    <w:rsid w:val="005277E9"/>
    <w:rsid w:val="00527ABB"/>
    <w:rsid w:val="00532400"/>
    <w:rsid w:val="0053747C"/>
    <w:rsid w:val="005416CF"/>
    <w:rsid w:val="00547C46"/>
    <w:rsid w:val="00547F98"/>
    <w:rsid w:val="00552FE6"/>
    <w:rsid w:val="00555CF3"/>
    <w:rsid w:val="00565B41"/>
    <w:rsid w:val="00565D0C"/>
    <w:rsid w:val="00571490"/>
    <w:rsid w:val="005748E0"/>
    <w:rsid w:val="00581482"/>
    <w:rsid w:val="005816BC"/>
    <w:rsid w:val="005826AF"/>
    <w:rsid w:val="00583D3A"/>
    <w:rsid w:val="00585CFF"/>
    <w:rsid w:val="00590A4F"/>
    <w:rsid w:val="00591AE8"/>
    <w:rsid w:val="0059403D"/>
    <w:rsid w:val="00596394"/>
    <w:rsid w:val="005A1686"/>
    <w:rsid w:val="005A4898"/>
    <w:rsid w:val="005A4B4A"/>
    <w:rsid w:val="005A76C7"/>
    <w:rsid w:val="005B0339"/>
    <w:rsid w:val="005B24BA"/>
    <w:rsid w:val="005C3F63"/>
    <w:rsid w:val="005C4F2B"/>
    <w:rsid w:val="005D50FB"/>
    <w:rsid w:val="005E10E1"/>
    <w:rsid w:val="005E1856"/>
    <w:rsid w:val="005E6850"/>
    <w:rsid w:val="005F26B5"/>
    <w:rsid w:val="006028DD"/>
    <w:rsid w:val="00606C8D"/>
    <w:rsid w:val="006117F0"/>
    <w:rsid w:val="0061189A"/>
    <w:rsid w:val="006140C0"/>
    <w:rsid w:val="006177B1"/>
    <w:rsid w:val="00617B87"/>
    <w:rsid w:val="00626B6A"/>
    <w:rsid w:val="00630C81"/>
    <w:rsid w:val="006321B8"/>
    <w:rsid w:val="00636E1F"/>
    <w:rsid w:val="00637F51"/>
    <w:rsid w:val="006406FC"/>
    <w:rsid w:val="00645A1A"/>
    <w:rsid w:val="00650AF5"/>
    <w:rsid w:val="00651D3D"/>
    <w:rsid w:val="00652AC5"/>
    <w:rsid w:val="00654D5F"/>
    <w:rsid w:val="00670724"/>
    <w:rsid w:val="0067191E"/>
    <w:rsid w:val="00675A9D"/>
    <w:rsid w:val="006763B2"/>
    <w:rsid w:val="006823C7"/>
    <w:rsid w:val="00686284"/>
    <w:rsid w:val="006A5993"/>
    <w:rsid w:val="006B1697"/>
    <w:rsid w:val="006B2030"/>
    <w:rsid w:val="006B6EE6"/>
    <w:rsid w:val="006D10A1"/>
    <w:rsid w:val="006D22CA"/>
    <w:rsid w:val="006D32D3"/>
    <w:rsid w:val="006D7CD9"/>
    <w:rsid w:val="006E2A8B"/>
    <w:rsid w:val="006F262F"/>
    <w:rsid w:val="006F6912"/>
    <w:rsid w:val="006F7687"/>
    <w:rsid w:val="0070068E"/>
    <w:rsid w:val="00707942"/>
    <w:rsid w:val="00714FE5"/>
    <w:rsid w:val="00715728"/>
    <w:rsid w:val="007157BE"/>
    <w:rsid w:val="00715EA6"/>
    <w:rsid w:val="00724760"/>
    <w:rsid w:val="00736180"/>
    <w:rsid w:val="00736438"/>
    <w:rsid w:val="00737F6A"/>
    <w:rsid w:val="00740E0B"/>
    <w:rsid w:val="00741279"/>
    <w:rsid w:val="007441B6"/>
    <w:rsid w:val="00744695"/>
    <w:rsid w:val="0074477A"/>
    <w:rsid w:val="007449B1"/>
    <w:rsid w:val="00744B08"/>
    <w:rsid w:val="00747AE7"/>
    <w:rsid w:val="00756531"/>
    <w:rsid w:val="00775078"/>
    <w:rsid w:val="0077649F"/>
    <w:rsid w:val="00786A66"/>
    <w:rsid w:val="007A27D2"/>
    <w:rsid w:val="007A2F4F"/>
    <w:rsid w:val="007B2948"/>
    <w:rsid w:val="007B2F51"/>
    <w:rsid w:val="007B68D6"/>
    <w:rsid w:val="007C2B27"/>
    <w:rsid w:val="007C30AE"/>
    <w:rsid w:val="007C6307"/>
    <w:rsid w:val="007C6F12"/>
    <w:rsid w:val="007D3946"/>
    <w:rsid w:val="007E0388"/>
    <w:rsid w:val="007E414E"/>
    <w:rsid w:val="007F21B1"/>
    <w:rsid w:val="007F2F22"/>
    <w:rsid w:val="007F7D7B"/>
    <w:rsid w:val="00805F20"/>
    <w:rsid w:val="00805FF7"/>
    <w:rsid w:val="0081743E"/>
    <w:rsid w:val="00820FE3"/>
    <w:rsid w:val="00822A8C"/>
    <w:rsid w:val="00827EA8"/>
    <w:rsid w:val="00830EA2"/>
    <w:rsid w:val="0083485C"/>
    <w:rsid w:val="0084308D"/>
    <w:rsid w:val="00845B89"/>
    <w:rsid w:val="008568A6"/>
    <w:rsid w:val="00866C16"/>
    <w:rsid w:val="008675E9"/>
    <w:rsid w:val="00875F85"/>
    <w:rsid w:val="00884C59"/>
    <w:rsid w:val="008855D6"/>
    <w:rsid w:val="0089420C"/>
    <w:rsid w:val="008974D9"/>
    <w:rsid w:val="008A0B66"/>
    <w:rsid w:val="008A2D46"/>
    <w:rsid w:val="008A2FA9"/>
    <w:rsid w:val="008A32B5"/>
    <w:rsid w:val="008A3B58"/>
    <w:rsid w:val="008A4951"/>
    <w:rsid w:val="008B13F4"/>
    <w:rsid w:val="008B6B53"/>
    <w:rsid w:val="008C4543"/>
    <w:rsid w:val="008D02BC"/>
    <w:rsid w:val="008D10C3"/>
    <w:rsid w:val="008D1551"/>
    <w:rsid w:val="008D4238"/>
    <w:rsid w:val="008D47CC"/>
    <w:rsid w:val="008D4820"/>
    <w:rsid w:val="008E0AAB"/>
    <w:rsid w:val="008E221D"/>
    <w:rsid w:val="008E2B1D"/>
    <w:rsid w:val="008E6425"/>
    <w:rsid w:val="008E68AF"/>
    <w:rsid w:val="008F0917"/>
    <w:rsid w:val="008F3928"/>
    <w:rsid w:val="00900D00"/>
    <w:rsid w:val="0090191B"/>
    <w:rsid w:val="00902D31"/>
    <w:rsid w:val="00903F6D"/>
    <w:rsid w:val="009156BD"/>
    <w:rsid w:val="00916F35"/>
    <w:rsid w:val="00927909"/>
    <w:rsid w:val="00933D76"/>
    <w:rsid w:val="00936D5D"/>
    <w:rsid w:val="00943579"/>
    <w:rsid w:val="00946FB4"/>
    <w:rsid w:val="00950ABA"/>
    <w:rsid w:val="009531B1"/>
    <w:rsid w:val="00953803"/>
    <w:rsid w:val="0095796A"/>
    <w:rsid w:val="0096190A"/>
    <w:rsid w:val="00961B43"/>
    <w:rsid w:val="00965149"/>
    <w:rsid w:val="00970C3E"/>
    <w:rsid w:val="00970FAD"/>
    <w:rsid w:val="00972E51"/>
    <w:rsid w:val="009771B1"/>
    <w:rsid w:val="00980DE1"/>
    <w:rsid w:val="009822D9"/>
    <w:rsid w:val="00983888"/>
    <w:rsid w:val="009838E3"/>
    <w:rsid w:val="00990FEB"/>
    <w:rsid w:val="00997650"/>
    <w:rsid w:val="009A4890"/>
    <w:rsid w:val="009A4DF9"/>
    <w:rsid w:val="009A55B4"/>
    <w:rsid w:val="009A7ACF"/>
    <w:rsid w:val="009B02BB"/>
    <w:rsid w:val="009B07DE"/>
    <w:rsid w:val="009B47A1"/>
    <w:rsid w:val="009D3FB5"/>
    <w:rsid w:val="009E1002"/>
    <w:rsid w:val="009E1C8A"/>
    <w:rsid w:val="009E4A34"/>
    <w:rsid w:val="009E7212"/>
    <w:rsid w:val="009E741A"/>
    <w:rsid w:val="009F1C22"/>
    <w:rsid w:val="009F227B"/>
    <w:rsid w:val="009F2F8E"/>
    <w:rsid w:val="009F55DF"/>
    <w:rsid w:val="009F6AB5"/>
    <w:rsid w:val="00A02718"/>
    <w:rsid w:val="00A03C3F"/>
    <w:rsid w:val="00A04FDF"/>
    <w:rsid w:val="00A16684"/>
    <w:rsid w:val="00A24AD2"/>
    <w:rsid w:val="00A31A5C"/>
    <w:rsid w:val="00A350E1"/>
    <w:rsid w:val="00A41582"/>
    <w:rsid w:val="00A54E54"/>
    <w:rsid w:val="00A63271"/>
    <w:rsid w:val="00A6371F"/>
    <w:rsid w:val="00A70351"/>
    <w:rsid w:val="00A71CFB"/>
    <w:rsid w:val="00A73037"/>
    <w:rsid w:val="00A77C3B"/>
    <w:rsid w:val="00A806D7"/>
    <w:rsid w:val="00A820D8"/>
    <w:rsid w:val="00A9060B"/>
    <w:rsid w:val="00A91301"/>
    <w:rsid w:val="00A95E4C"/>
    <w:rsid w:val="00A97364"/>
    <w:rsid w:val="00AA05BE"/>
    <w:rsid w:val="00AA1066"/>
    <w:rsid w:val="00AA1396"/>
    <w:rsid w:val="00AA698B"/>
    <w:rsid w:val="00AA7E78"/>
    <w:rsid w:val="00AB0EE6"/>
    <w:rsid w:val="00AB22AB"/>
    <w:rsid w:val="00AB2E50"/>
    <w:rsid w:val="00AB6E1E"/>
    <w:rsid w:val="00AC631C"/>
    <w:rsid w:val="00AC797A"/>
    <w:rsid w:val="00AD4B58"/>
    <w:rsid w:val="00AD57B1"/>
    <w:rsid w:val="00AE13C0"/>
    <w:rsid w:val="00AE1ACC"/>
    <w:rsid w:val="00AE7861"/>
    <w:rsid w:val="00AF70AD"/>
    <w:rsid w:val="00B003E4"/>
    <w:rsid w:val="00B004BD"/>
    <w:rsid w:val="00B03AD3"/>
    <w:rsid w:val="00B054F5"/>
    <w:rsid w:val="00B144B6"/>
    <w:rsid w:val="00B24E4F"/>
    <w:rsid w:val="00B474DD"/>
    <w:rsid w:val="00B507E3"/>
    <w:rsid w:val="00B55AC3"/>
    <w:rsid w:val="00B56640"/>
    <w:rsid w:val="00B6508D"/>
    <w:rsid w:val="00B667C6"/>
    <w:rsid w:val="00B70D68"/>
    <w:rsid w:val="00B75B6F"/>
    <w:rsid w:val="00B81FF9"/>
    <w:rsid w:val="00B84BF1"/>
    <w:rsid w:val="00B85E40"/>
    <w:rsid w:val="00B939D8"/>
    <w:rsid w:val="00B941C1"/>
    <w:rsid w:val="00B94ACB"/>
    <w:rsid w:val="00B95482"/>
    <w:rsid w:val="00BA3A1C"/>
    <w:rsid w:val="00BA4A44"/>
    <w:rsid w:val="00BA66F9"/>
    <w:rsid w:val="00BB1F15"/>
    <w:rsid w:val="00BB2CC0"/>
    <w:rsid w:val="00BB36BA"/>
    <w:rsid w:val="00BB4CD6"/>
    <w:rsid w:val="00BB7C6E"/>
    <w:rsid w:val="00BC23D3"/>
    <w:rsid w:val="00BC3EC2"/>
    <w:rsid w:val="00BC5AC8"/>
    <w:rsid w:val="00BC5D4B"/>
    <w:rsid w:val="00BD7500"/>
    <w:rsid w:val="00BD7FA3"/>
    <w:rsid w:val="00BE08CC"/>
    <w:rsid w:val="00BE71E6"/>
    <w:rsid w:val="00BE74B1"/>
    <w:rsid w:val="00BF1E83"/>
    <w:rsid w:val="00BF4286"/>
    <w:rsid w:val="00BF580A"/>
    <w:rsid w:val="00BF62BB"/>
    <w:rsid w:val="00C1593D"/>
    <w:rsid w:val="00C15EA8"/>
    <w:rsid w:val="00C174E0"/>
    <w:rsid w:val="00C17E91"/>
    <w:rsid w:val="00C206FC"/>
    <w:rsid w:val="00C22901"/>
    <w:rsid w:val="00C36961"/>
    <w:rsid w:val="00C36EB3"/>
    <w:rsid w:val="00C3749F"/>
    <w:rsid w:val="00C47B8B"/>
    <w:rsid w:val="00C57903"/>
    <w:rsid w:val="00C60DD7"/>
    <w:rsid w:val="00C624E8"/>
    <w:rsid w:val="00C6638A"/>
    <w:rsid w:val="00C71E69"/>
    <w:rsid w:val="00C87125"/>
    <w:rsid w:val="00C9071A"/>
    <w:rsid w:val="00C90AD9"/>
    <w:rsid w:val="00C93674"/>
    <w:rsid w:val="00C941E4"/>
    <w:rsid w:val="00C95D33"/>
    <w:rsid w:val="00CA1261"/>
    <w:rsid w:val="00CA3E33"/>
    <w:rsid w:val="00CC1049"/>
    <w:rsid w:val="00CC1E80"/>
    <w:rsid w:val="00CC20F4"/>
    <w:rsid w:val="00CD159A"/>
    <w:rsid w:val="00CD3F87"/>
    <w:rsid w:val="00CE2434"/>
    <w:rsid w:val="00CE6F6C"/>
    <w:rsid w:val="00CE7C9B"/>
    <w:rsid w:val="00CF5782"/>
    <w:rsid w:val="00CF75C6"/>
    <w:rsid w:val="00D00E09"/>
    <w:rsid w:val="00D0423A"/>
    <w:rsid w:val="00D06C3F"/>
    <w:rsid w:val="00D07D17"/>
    <w:rsid w:val="00D1222B"/>
    <w:rsid w:val="00D15FF9"/>
    <w:rsid w:val="00D24B70"/>
    <w:rsid w:val="00D2681E"/>
    <w:rsid w:val="00D30127"/>
    <w:rsid w:val="00D32688"/>
    <w:rsid w:val="00D343B7"/>
    <w:rsid w:val="00D42753"/>
    <w:rsid w:val="00D51214"/>
    <w:rsid w:val="00D560AF"/>
    <w:rsid w:val="00D6232A"/>
    <w:rsid w:val="00D62E63"/>
    <w:rsid w:val="00D7074C"/>
    <w:rsid w:val="00D7144F"/>
    <w:rsid w:val="00D73E0B"/>
    <w:rsid w:val="00D80C08"/>
    <w:rsid w:val="00D9478D"/>
    <w:rsid w:val="00DA5F2A"/>
    <w:rsid w:val="00DA6B1A"/>
    <w:rsid w:val="00DB0008"/>
    <w:rsid w:val="00DB56FA"/>
    <w:rsid w:val="00DB6AAD"/>
    <w:rsid w:val="00DC0921"/>
    <w:rsid w:val="00DC25E1"/>
    <w:rsid w:val="00DC4146"/>
    <w:rsid w:val="00DD21EF"/>
    <w:rsid w:val="00DD37FD"/>
    <w:rsid w:val="00DD64CC"/>
    <w:rsid w:val="00DD7DF1"/>
    <w:rsid w:val="00DE4B4D"/>
    <w:rsid w:val="00DF29C8"/>
    <w:rsid w:val="00DF4255"/>
    <w:rsid w:val="00DF64B2"/>
    <w:rsid w:val="00E03633"/>
    <w:rsid w:val="00E059C9"/>
    <w:rsid w:val="00E07C70"/>
    <w:rsid w:val="00E11C94"/>
    <w:rsid w:val="00E12841"/>
    <w:rsid w:val="00E13251"/>
    <w:rsid w:val="00E144E4"/>
    <w:rsid w:val="00E14F10"/>
    <w:rsid w:val="00E166D5"/>
    <w:rsid w:val="00E21B67"/>
    <w:rsid w:val="00E2433A"/>
    <w:rsid w:val="00E26D00"/>
    <w:rsid w:val="00E4204C"/>
    <w:rsid w:val="00E556DE"/>
    <w:rsid w:val="00E600C0"/>
    <w:rsid w:val="00E60F8C"/>
    <w:rsid w:val="00E610E1"/>
    <w:rsid w:val="00E6175C"/>
    <w:rsid w:val="00E61AB4"/>
    <w:rsid w:val="00E63C3C"/>
    <w:rsid w:val="00E63DB5"/>
    <w:rsid w:val="00E71373"/>
    <w:rsid w:val="00E76FC7"/>
    <w:rsid w:val="00E841AC"/>
    <w:rsid w:val="00E84B17"/>
    <w:rsid w:val="00E85003"/>
    <w:rsid w:val="00E86DE9"/>
    <w:rsid w:val="00E96115"/>
    <w:rsid w:val="00E96820"/>
    <w:rsid w:val="00EA2CA7"/>
    <w:rsid w:val="00EB4234"/>
    <w:rsid w:val="00EB6886"/>
    <w:rsid w:val="00EC3E5D"/>
    <w:rsid w:val="00EC41F7"/>
    <w:rsid w:val="00EC639A"/>
    <w:rsid w:val="00EC6761"/>
    <w:rsid w:val="00ED172D"/>
    <w:rsid w:val="00EE6FEF"/>
    <w:rsid w:val="00EF02FA"/>
    <w:rsid w:val="00EF14A5"/>
    <w:rsid w:val="00EF2A86"/>
    <w:rsid w:val="00EF6756"/>
    <w:rsid w:val="00F10CE5"/>
    <w:rsid w:val="00F14983"/>
    <w:rsid w:val="00F15586"/>
    <w:rsid w:val="00F156D9"/>
    <w:rsid w:val="00F20066"/>
    <w:rsid w:val="00F22381"/>
    <w:rsid w:val="00F226A1"/>
    <w:rsid w:val="00F40C67"/>
    <w:rsid w:val="00F44CD2"/>
    <w:rsid w:val="00F50BD7"/>
    <w:rsid w:val="00F61F8E"/>
    <w:rsid w:val="00F628B8"/>
    <w:rsid w:val="00F70349"/>
    <w:rsid w:val="00F73018"/>
    <w:rsid w:val="00F92EA8"/>
    <w:rsid w:val="00FA0CC6"/>
    <w:rsid w:val="00FA5957"/>
    <w:rsid w:val="00FA7C59"/>
    <w:rsid w:val="00FB3A44"/>
    <w:rsid w:val="00FB73A4"/>
    <w:rsid w:val="00FB74E3"/>
    <w:rsid w:val="00FC01A7"/>
    <w:rsid w:val="00FD19BB"/>
    <w:rsid w:val="00FD7EA7"/>
    <w:rsid w:val="00FE1187"/>
    <w:rsid w:val="00FE62DA"/>
    <w:rsid w:val="00FE67E1"/>
    <w:rsid w:val="00FE734A"/>
    <w:rsid w:val="00FF5DA0"/>
    <w:rsid w:val="00FF703B"/>
    <w:rsid w:val="00FF7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E3770"/>
  <w15:docId w15:val="{2D662384-1128-42EE-8353-BEE7BCAEA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B17"/>
    <w:pPr>
      <w:spacing w:after="0" w:line="240" w:lineRule="auto"/>
    </w:pPr>
    <w:rPr>
      <w:rFonts w:ascii="EYInterstate Light" w:eastAsia="Calibri" w:hAnsi="EYInterstate Light" w:cs="Times New Roman"/>
      <w:lang w:eastAsia="ru-RU" w:bidi="ru-RU"/>
    </w:rPr>
  </w:style>
  <w:style w:type="paragraph" w:styleId="Heading3">
    <w:name w:val="heading 3"/>
    <w:basedOn w:val="Normal"/>
    <w:next w:val="Normal"/>
    <w:link w:val="Heading3Char"/>
    <w:uiPriority w:val="9"/>
    <w:semiHidden/>
    <w:unhideWhenUsed/>
    <w:qFormat/>
    <w:rsid w:val="00DC092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RM footnote Text,Footnote Text Char2,Footnote Text Char11,Footnote Text Char3,Footnote Text Char4,Footnote Text Char5,Footnote Text Char6,Footnote Text Char12,Footnote Text Char21,Footnote New, Char,Footnote, Cha,Cha,C,Char"/>
    <w:basedOn w:val="Normal"/>
    <w:link w:val="FootnoteTextChar"/>
    <w:rsid w:val="00DC0921"/>
    <w:pPr>
      <w:tabs>
        <w:tab w:val="left" w:pos="360"/>
      </w:tabs>
      <w:spacing w:line="240" w:lineRule="exact"/>
      <w:ind w:left="360" w:hanging="360"/>
      <w:jc w:val="both"/>
    </w:pPr>
    <w:rPr>
      <w:rFonts w:ascii="Times New Roman" w:eastAsia="Times New Roman" w:hAnsi="Times New Roman"/>
      <w:sz w:val="20"/>
      <w:szCs w:val="20"/>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Cha Char"/>
    <w:basedOn w:val="DefaultParagraphFont"/>
    <w:link w:val="FootnoteText"/>
    <w:rsid w:val="00DC0921"/>
    <w:rPr>
      <w:rFonts w:ascii="Times New Roman" w:eastAsia="Times New Roman" w:hAnsi="Times New Roman" w:cs="Times New Roman"/>
      <w:sz w:val="20"/>
      <w:szCs w:val="20"/>
      <w:lang w:eastAsia="ru-RU" w:bidi="ru-RU"/>
    </w:rPr>
  </w:style>
  <w:style w:type="character" w:styleId="FootnoteReference">
    <w:name w:val="footnote reference"/>
    <w:aliases w:val="Footnote reference number,Footnote symbol,note TESI,fr"/>
    <w:uiPriority w:val="99"/>
    <w:rsid w:val="00DC0921"/>
    <w:rPr>
      <w:vertAlign w:val="superscript"/>
    </w:rPr>
  </w:style>
  <w:style w:type="table" w:styleId="TableGrid">
    <w:name w:val="Table Grid"/>
    <w:basedOn w:val="TableNormal"/>
    <w:uiPriority w:val="59"/>
    <w:rsid w:val="00DC0921"/>
    <w:pPr>
      <w:spacing w:after="0" w:line="240" w:lineRule="auto"/>
    </w:pPr>
    <w:rPr>
      <w:rFonts w:ascii="Calibri" w:eastAsia="Calibri" w:hAnsi="Calibri" w:cs="Times New Roman"/>
      <w:sz w:val="20"/>
      <w:szCs w:val="20"/>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FACBulletList1">
    <w:name w:val="IFAC BulletList 1"/>
    <w:aliases w:val="bl1"/>
    <w:basedOn w:val="Normal"/>
    <w:autoRedefine/>
    <w:qFormat/>
    <w:rsid w:val="00DC0921"/>
    <w:pPr>
      <w:numPr>
        <w:numId w:val="1"/>
      </w:numPr>
      <w:tabs>
        <w:tab w:val="left" w:pos="547"/>
      </w:tabs>
      <w:spacing w:before="120" w:line="280" w:lineRule="exact"/>
      <w:ind w:left="547" w:hanging="547"/>
      <w:jc w:val="both"/>
    </w:pPr>
    <w:rPr>
      <w:rFonts w:ascii="Arial" w:eastAsia="Times New Roman" w:hAnsi="Arial"/>
      <w:kern w:val="8"/>
      <w:sz w:val="20"/>
      <w:szCs w:val="24"/>
    </w:rPr>
  </w:style>
  <w:style w:type="paragraph" w:customStyle="1" w:styleId="IFACBulletList3">
    <w:name w:val="IFAC BulletList 3"/>
    <w:aliases w:val="bl3"/>
    <w:basedOn w:val="Normal"/>
    <w:autoRedefine/>
    <w:qFormat/>
    <w:rsid w:val="00DC0921"/>
    <w:pPr>
      <w:numPr>
        <w:ilvl w:val="2"/>
        <w:numId w:val="1"/>
      </w:numPr>
      <w:tabs>
        <w:tab w:val="left" w:pos="1642"/>
      </w:tabs>
      <w:spacing w:before="120" w:line="280" w:lineRule="exact"/>
      <w:jc w:val="both"/>
    </w:pPr>
    <w:rPr>
      <w:rFonts w:ascii="Arial" w:eastAsia="Times New Roman" w:hAnsi="Arial"/>
      <w:kern w:val="8"/>
      <w:sz w:val="20"/>
      <w:szCs w:val="24"/>
    </w:rPr>
  </w:style>
  <w:style w:type="paragraph" w:customStyle="1" w:styleId="level2">
    <w:name w:val="level 2"/>
    <w:basedOn w:val="Normal"/>
    <w:rsid w:val="00DC0921"/>
    <w:pPr>
      <w:tabs>
        <w:tab w:val="right" w:pos="360"/>
        <w:tab w:val="left" w:pos="576"/>
      </w:tabs>
      <w:spacing w:after="120" w:line="220" w:lineRule="exact"/>
      <w:ind w:left="1008" w:hanging="432"/>
      <w:jc w:val="both"/>
    </w:pPr>
    <w:rPr>
      <w:rFonts w:ascii="Times New Roman" w:eastAsia="Times New Roman" w:hAnsi="Times New Roman"/>
      <w:kern w:val="8"/>
      <w:sz w:val="20"/>
      <w:szCs w:val="20"/>
    </w:rPr>
  </w:style>
  <w:style w:type="paragraph" w:customStyle="1" w:styleId="Heading32">
    <w:name w:val="Heading 3/2"/>
    <w:basedOn w:val="Heading3"/>
    <w:rsid w:val="00DC0921"/>
    <w:pPr>
      <w:keepNext w:val="0"/>
      <w:keepLines w:val="0"/>
      <w:spacing w:before="120" w:line="240" w:lineRule="exact"/>
      <w:ind w:right="360"/>
      <w:jc w:val="both"/>
    </w:pPr>
    <w:rPr>
      <w:rFonts w:ascii="Times New Roman" w:eastAsia="Times New Roman" w:hAnsi="Times New Roman" w:cs="Arial"/>
      <w:b/>
      <w:bCs/>
      <w:color w:val="auto"/>
      <w:sz w:val="20"/>
      <w:szCs w:val="20"/>
    </w:rPr>
  </w:style>
  <w:style w:type="character" w:customStyle="1" w:styleId="Heading3Char">
    <w:name w:val="Heading 3 Char"/>
    <w:basedOn w:val="DefaultParagraphFont"/>
    <w:link w:val="Heading3"/>
    <w:uiPriority w:val="9"/>
    <w:semiHidden/>
    <w:rsid w:val="00DC0921"/>
    <w:rPr>
      <w:rFonts w:asciiTheme="majorHAnsi" w:eastAsiaTheme="majorEastAsia" w:hAnsiTheme="majorHAnsi" w:cstheme="majorBidi"/>
      <w:color w:val="1F4D78" w:themeColor="accent1" w:themeShade="7F"/>
      <w:sz w:val="24"/>
      <w:szCs w:val="24"/>
      <w:lang w:eastAsia="ru-RU" w:bidi="ru-RU"/>
    </w:rPr>
  </w:style>
  <w:style w:type="paragraph" w:customStyle="1" w:styleId="TableBullet1">
    <w:name w:val="TableBullet1"/>
    <w:basedOn w:val="Normal"/>
    <w:next w:val="BodyText"/>
    <w:qFormat/>
    <w:rsid w:val="00DC0921"/>
    <w:pPr>
      <w:numPr>
        <w:numId w:val="4"/>
      </w:numPr>
      <w:tabs>
        <w:tab w:val="clear" w:pos="-153"/>
        <w:tab w:val="left" w:pos="547"/>
      </w:tabs>
      <w:spacing w:before="60" w:after="60" w:line="240" w:lineRule="exact"/>
      <w:ind w:left="547" w:hanging="547"/>
    </w:pPr>
    <w:rPr>
      <w:rFonts w:ascii="Times New Roman" w:eastAsia="Times New Roman" w:hAnsi="Times New Roman"/>
      <w:kern w:val="8"/>
      <w:sz w:val="20"/>
      <w:szCs w:val="24"/>
      <w:lang w:val="en-US" w:eastAsia="en-US" w:bidi="he-IL"/>
    </w:rPr>
  </w:style>
  <w:style w:type="paragraph" w:styleId="BodyText">
    <w:name w:val="Body Text"/>
    <w:basedOn w:val="Normal"/>
    <w:link w:val="BodyTextChar"/>
    <w:uiPriority w:val="99"/>
    <w:semiHidden/>
    <w:unhideWhenUsed/>
    <w:rsid w:val="00DC0921"/>
    <w:pPr>
      <w:spacing w:after="120"/>
    </w:pPr>
  </w:style>
  <w:style w:type="character" w:customStyle="1" w:styleId="BodyTextChar">
    <w:name w:val="Body Text Char"/>
    <w:basedOn w:val="DefaultParagraphFont"/>
    <w:link w:val="BodyText"/>
    <w:uiPriority w:val="99"/>
    <w:semiHidden/>
    <w:rsid w:val="00DC0921"/>
    <w:rPr>
      <w:rFonts w:ascii="Calibri" w:eastAsia="Calibri" w:hAnsi="Calibri" w:cs="Times New Roman"/>
      <w:lang w:eastAsia="ru-RU" w:bidi="ru-RU"/>
    </w:rPr>
  </w:style>
  <w:style w:type="paragraph" w:styleId="Header">
    <w:name w:val="header"/>
    <w:aliases w:val="Left Header,EY Header"/>
    <w:basedOn w:val="Normal"/>
    <w:link w:val="HeaderChar"/>
    <w:uiPriority w:val="99"/>
    <w:unhideWhenUsed/>
    <w:rsid w:val="00DF29C8"/>
    <w:pPr>
      <w:tabs>
        <w:tab w:val="center" w:pos="4677"/>
        <w:tab w:val="right" w:pos="9355"/>
      </w:tabs>
    </w:pPr>
  </w:style>
  <w:style w:type="character" w:customStyle="1" w:styleId="HeaderChar">
    <w:name w:val="Header Char"/>
    <w:aliases w:val="Left Header Char,EY Header Char"/>
    <w:basedOn w:val="DefaultParagraphFont"/>
    <w:link w:val="Header"/>
    <w:uiPriority w:val="99"/>
    <w:rsid w:val="00DF29C8"/>
    <w:rPr>
      <w:rFonts w:ascii="Calibri" w:eastAsia="Calibri" w:hAnsi="Calibri" w:cs="Times New Roman"/>
      <w:lang w:eastAsia="ru-RU" w:bidi="ru-RU"/>
    </w:rPr>
  </w:style>
  <w:style w:type="paragraph" w:styleId="Footer">
    <w:name w:val="footer"/>
    <w:basedOn w:val="Normal"/>
    <w:link w:val="FooterChar"/>
    <w:uiPriority w:val="99"/>
    <w:unhideWhenUsed/>
    <w:rsid w:val="00DF29C8"/>
    <w:pPr>
      <w:tabs>
        <w:tab w:val="center" w:pos="4677"/>
        <w:tab w:val="right" w:pos="9355"/>
      </w:tabs>
    </w:pPr>
  </w:style>
  <w:style w:type="character" w:customStyle="1" w:styleId="FooterChar">
    <w:name w:val="Footer Char"/>
    <w:basedOn w:val="DefaultParagraphFont"/>
    <w:link w:val="Footer"/>
    <w:uiPriority w:val="99"/>
    <w:rsid w:val="00DF29C8"/>
    <w:rPr>
      <w:rFonts w:ascii="Calibri" w:eastAsia="Calibri" w:hAnsi="Calibri" w:cs="Times New Roman"/>
      <w:lang w:eastAsia="ru-RU" w:bidi="ru-RU"/>
    </w:rPr>
  </w:style>
  <w:style w:type="character" w:styleId="CommentReference">
    <w:name w:val="annotation reference"/>
    <w:basedOn w:val="DefaultParagraphFont"/>
    <w:uiPriority w:val="99"/>
    <w:unhideWhenUsed/>
    <w:rsid w:val="007F7D7B"/>
    <w:rPr>
      <w:sz w:val="16"/>
      <w:szCs w:val="16"/>
    </w:rPr>
  </w:style>
  <w:style w:type="paragraph" w:styleId="CommentText">
    <w:name w:val="annotation text"/>
    <w:basedOn w:val="Normal"/>
    <w:link w:val="CommentTextChar"/>
    <w:uiPriority w:val="99"/>
    <w:unhideWhenUsed/>
    <w:rsid w:val="007F7D7B"/>
    <w:rPr>
      <w:sz w:val="20"/>
      <w:szCs w:val="20"/>
    </w:rPr>
  </w:style>
  <w:style w:type="character" w:customStyle="1" w:styleId="CommentTextChar">
    <w:name w:val="Comment Text Char"/>
    <w:basedOn w:val="DefaultParagraphFont"/>
    <w:link w:val="CommentText"/>
    <w:uiPriority w:val="99"/>
    <w:rsid w:val="007F7D7B"/>
    <w:rPr>
      <w:rFonts w:ascii="Calibri" w:eastAsia="Calibri" w:hAnsi="Calibri" w:cs="Times New Roman"/>
      <w:sz w:val="20"/>
      <w:szCs w:val="20"/>
      <w:lang w:eastAsia="ru-RU" w:bidi="ru-RU"/>
    </w:rPr>
  </w:style>
  <w:style w:type="paragraph" w:styleId="CommentSubject">
    <w:name w:val="annotation subject"/>
    <w:basedOn w:val="CommentText"/>
    <w:next w:val="CommentText"/>
    <w:link w:val="CommentSubjectChar"/>
    <w:uiPriority w:val="99"/>
    <w:semiHidden/>
    <w:unhideWhenUsed/>
    <w:rsid w:val="007F7D7B"/>
    <w:rPr>
      <w:b/>
      <w:bCs/>
    </w:rPr>
  </w:style>
  <w:style w:type="character" w:customStyle="1" w:styleId="CommentSubjectChar">
    <w:name w:val="Comment Subject Char"/>
    <w:basedOn w:val="CommentTextChar"/>
    <w:link w:val="CommentSubject"/>
    <w:uiPriority w:val="99"/>
    <w:semiHidden/>
    <w:rsid w:val="007F7D7B"/>
    <w:rPr>
      <w:rFonts w:ascii="Calibri" w:eastAsia="Calibri" w:hAnsi="Calibri" w:cs="Times New Roman"/>
      <w:b/>
      <w:bCs/>
      <w:sz w:val="20"/>
      <w:szCs w:val="20"/>
      <w:lang w:eastAsia="ru-RU" w:bidi="ru-RU"/>
    </w:rPr>
  </w:style>
  <w:style w:type="paragraph" w:styleId="BalloonText">
    <w:name w:val="Balloon Text"/>
    <w:basedOn w:val="Normal"/>
    <w:link w:val="BalloonTextChar"/>
    <w:uiPriority w:val="99"/>
    <w:semiHidden/>
    <w:unhideWhenUsed/>
    <w:rsid w:val="007F7D7B"/>
    <w:rPr>
      <w:rFonts w:ascii="Tahoma" w:hAnsi="Tahoma" w:cs="Tahoma"/>
      <w:sz w:val="16"/>
      <w:szCs w:val="16"/>
    </w:rPr>
  </w:style>
  <w:style w:type="character" w:customStyle="1" w:styleId="BalloonTextChar">
    <w:name w:val="Balloon Text Char"/>
    <w:basedOn w:val="DefaultParagraphFont"/>
    <w:link w:val="BalloonText"/>
    <w:uiPriority w:val="99"/>
    <w:semiHidden/>
    <w:rsid w:val="007F7D7B"/>
    <w:rPr>
      <w:rFonts w:ascii="Tahoma" w:eastAsia="Calibri" w:hAnsi="Tahoma" w:cs="Tahoma"/>
      <w:sz w:val="16"/>
      <w:szCs w:val="16"/>
      <w:lang w:eastAsia="ru-RU" w:bidi="ru-RU"/>
    </w:rPr>
  </w:style>
  <w:style w:type="paragraph" w:customStyle="1" w:styleId="Default">
    <w:name w:val="Default"/>
    <w:rsid w:val="00B003E4"/>
    <w:pPr>
      <w:autoSpaceDE w:val="0"/>
      <w:autoSpaceDN w:val="0"/>
      <w:adjustRightInd w:val="0"/>
      <w:spacing w:after="0" w:line="240" w:lineRule="auto"/>
    </w:pPr>
    <w:rPr>
      <w:rFonts w:ascii="Arial" w:hAnsi="Arial" w:cs="Arial"/>
      <w:color w:val="000000"/>
      <w:sz w:val="24"/>
      <w:szCs w:val="24"/>
      <w:lang w:val="en-US"/>
    </w:rPr>
  </w:style>
  <w:style w:type="character" w:customStyle="1" w:styleId="hyperlinkdj">
    <w:name w:val="hyperlink_dj"/>
    <w:basedOn w:val="DefaultParagraphFont"/>
    <w:uiPriority w:val="1"/>
    <w:qFormat/>
    <w:rsid w:val="0059403D"/>
    <w:rPr>
      <w:color w:val="0060A0"/>
    </w:rPr>
  </w:style>
  <w:style w:type="paragraph" w:customStyle="1" w:styleId="Tablebullet10">
    <w:name w:val="Table bullet 1"/>
    <w:basedOn w:val="EYBullet1"/>
    <w:qFormat/>
    <w:rsid w:val="00437C1F"/>
    <w:pPr>
      <w:spacing w:after="60"/>
      <w:ind w:left="415" w:right="72" w:hanging="375"/>
    </w:pPr>
    <w:rPr>
      <w:lang w:eastAsia="nl-NL"/>
    </w:rPr>
  </w:style>
  <w:style w:type="paragraph" w:customStyle="1" w:styleId="EYBullet1">
    <w:name w:val="EY Bullet 1"/>
    <w:basedOn w:val="Normal"/>
    <w:rsid w:val="00437C1F"/>
    <w:pPr>
      <w:numPr>
        <w:numId w:val="5"/>
      </w:numPr>
      <w:spacing w:before="60" w:after="120"/>
      <w:ind w:left="360" w:hanging="360"/>
    </w:pPr>
    <w:rPr>
      <w:rFonts w:ascii="Arial" w:eastAsia="Times New Roman" w:hAnsi="Arial"/>
      <w:color w:val="000000" w:themeColor="text1"/>
      <w:sz w:val="20"/>
      <w:szCs w:val="24"/>
      <w:lang w:val="en-US" w:eastAsia="en-US" w:bidi="ar-SA"/>
    </w:rPr>
  </w:style>
  <w:style w:type="paragraph" w:customStyle="1" w:styleId="EYHeading1">
    <w:name w:val="EY Heading 1"/>
    <w:basedOn w:val="Normal"/>
    <w:next w:val="Normal"/>
    <w:link w:val="EYHeading1Char"/>
    <w:rsid w:val="00191EC3"/>
    <w:pPr>
      <w:keepNext/>
      <w:suppressAutoHyphens/>
      <w:spacing w:before="120" w:after="240"/>
    </w:pPr>
    <w:rPr>
      <w:rFonts w:ascii="Arial" w:eastAsia="Times New Roman" w:hAnsi="Arial"/>
      <w:b/>
      <w:color w:val="000000" w:themeColor="text1"/>
      <w:kern w:val="12"/>
      <w:sz w:val="26"/>
      <w:szCs w:val="24"/>
      <w:lang w:val="en-GB" w:eastAsia="en-US" w:bidi="ar-SA"/>
    </w:rPr>
  </w:style>
  <w:style w:type="character" w:customStyle="1" w:styleId="EYHeading1Char">
    <w:name w:val="EY Heading 1 Char"/>
    <w:basedOn w:val="DefaultParagraphFont"/>
    <w:link w:val="EYHeading1"/>
    <w:rsid w:val="00191EC3"/>
    <w:rPr>
      <w:rFonts w:ascii="Arial" w:eastAsia="Times New Roman" w:hAnsi="Arial" w:cs="Times New Roman"/>
      <w:b/>
      <w:color w:val="000000" w:themeColor="text1"/>
      <w:kern w:val="12"/>
      <w:sz w:val="26"/>
      <w:szCs w:val="24"/>
      <w:lang w:val="en-GB"/>
    </w:rPr>
  </w:style>
  <w:style w:type="paragraph" w:customStyle="1" w:styleId="NormalnTimes12AYbodytextTimes12Point10pointFlushleftGeneva1012pointFlushleftTimesFlushleftTimes10FlushleftTimes12JustifiedFlushLeftNormalproposalNormalpropPropmarginNormalmarginNorma">
    <w:name w:val="Normal.n.Times 12.AY body text.Times 12 Point.10 point.Flush left.Geneva 10.12 point.Flush left Times.Flush left Times  10.Flush left Times 12.Justified.Flush Left.Normal proposal.Normal prop.Prop margin.Normal margin.Norma"/>
    <w:rsid w:val="00B939D8"/>
    <w:pPr>
      <w:widowControl w:val="0"/>
      <w:tabs>
        <w:tab w:val="left" w:pos="620"/>
      </w:tabs>
      <w:overflowPunct w:val="0"/>
      <w:autoSpaceDE w:val="0"/>
      <w:autoSpaceDN w:val="0"/>
      <w:adjustRightInd w:val="0"/>
      <w:spacing w:after="0" w:line="240" w:lineRule="auto"/>
      <w:jc w:val="both"/>
      <w:textAlignment w:val="baseline"/>
    </w:pPr>
    <w:rPr>
      <w:rFonts w:ascii="Times" w:eastAsia="Times New Roman" w:hAnsi="Times" w:cs="Times New Roman"/>
      <w:sz w:val="24"/>
      <w:szCs w:val="20"/>
      <w:lang w:val="en-US"/>
    </w:rPr>
  </w:style>
  <w:style w:type="paragraph" w:styleId="ListParagraph">
    <w:name w:val="List Paragraph"/>
    <w:basedOn w:val="Normal"/>
    <w:link w:val="ListParagraphChar"/>
    <w:uiPriority w:val="34"/>
    <w:qFormat/>
    <w:rsid w:val="008B13F4"/>
    <w:pPr>
      <w:ind w:left="720"/>
      <w:contextualSpacing/>
    </w:pPr>
  </w:style>
  <w:style w:type="table" w:styleId="ListTable4">
    <w:name w:val="List Table 4"/>
    <w:basedOn w:val="TableNormal"/>
    <w:uiPriority w:val="49"/>
    <w:rsid w:val="00D62E63"/>
    <w:pPr>
      <w:spacing w:after="0" w:line="240" w:lineRule="auto"/>
    </w:pPr>
    <w:rPr>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3462E5"/>
    <w:pPr>
      <w:spacing w:after="0" w:line="240" w:lineRule="auto"/>
    </w:pPr>
    <w:rPr>
      <w:rFonts w:ascii="EYInterstate Light" w:eastAsia="Calibri" w:hAnsi="EYInterstate Light" w:cs="Times New Roman"/>
      <w:lang w:eastAsia="ru-RU" w:bidi="ru-RU"/>
    </w:rPr>
  </w:style>
  <w:style w:type="character" w:customStyle="1" w:styleId="ListParagraphChar">
    <w:name w:val="List Paragraph Char"/>
    <w:basedOn w:val="DefaultParagraphFont"/>
    <w:link w:val="ListParagraph"/>
    <w:uiPriority w:val="34"/>
    <w:rsid w:val="00714FE5"/>
    <w:rPr>
      <w:rFonts w:ascii="EYInterstate Light" w:eastAsia="Calibri" w:hAnsi="EYInterstate Light"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07877">
      <w:bodyDiv w:val="1"/>
      <w:marLeft w:val="0"/>
      <w:marRight w:val="0"/>
      <w:marTop w:val="0"/>
      <w:marBottom w:val="0"/>
      <w:divBdr>
        <w:top w:val="none" w:sz="0" w:space="0" w:color="auto"/>
        <w:left w:val="none" w:sz="0" w:space="0" w:color="auto"/>
        <w:bottom w:val="none" w:sz="0" w:space="0" w:color="auto"/>
        <w:right w:val="none" w:sz="0" w:space="0" w:color="auto"/>
      </w:divBdr>
    </w:div>
    <w:div w:id="1024525420">
      <w:bodyDiv w:val="1"/>
      <w:marLeft w:val="0"/>
      <w:marRight w:val="0"/>
      <w:marTop w:val="0"/>
      <w:marBottom w:val="0"/>
      <w:divBdr>
        <w:top w:val="none" w:sz="0" w:space="0" w:color="auto"/>
        <w:left w:val="none" w:sz="0" w:space="0" w:color="auto"/>
        <w:bottom w:val="none" w:sz="0" w:space="0" w:color="auto"/>
        <w:right w:val="none" w:sz="0" w:space="0" w:color="auto"/>
      </w:divBdr>
    </w:div>
    <w:div w:id="1044329120">
      <w:bodyDiv w:val="1"/>
      <w:marLeft w:val="0"/>
      <w:marRight w:val="0"/>
      <w:marTop w:val="0"/>
      <w:marBottom w:val="0"/>
      <w:divBdr>
        <w:top w:val="none" w:sz="0" w:space="0" w:color="auto"/>
        <w:left w:val="none" w:sz="0" w:space="0" w:color="auto"/>
        <w:bottom w:val="none" w:sz="0" w:space="0" w:color="auto"/>
        <w:right w:val="none" w:sz="0" w:space="0" w:color="auto"/>
      </w:divBdr>
    </w:div>
    <w:div w:id="162977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D49E-5AAC-47F6-BB5C-8A340758A12A}">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39636</vt:lpwstr>
  </property>
  <property fmtid="{D5CDD505-2E9C-101B-9397-08002B2CF9AE}" pid="4" name="OptimizationTime">
    <vt:lpwstr>20230418_1822</vt:lpwstr>
  </property>
</Properties>
</file>

<file path=docProps/app.xml><?xml version="1.0" encoding="utf-8"?>
<Properties xmlns="http://schemas.openxmlformats.org/officeDocument/2006/extended-properties" xmlns:vt="http://schemas.openxmlformats.org/officeDocument/2006/docPropsVTypes">
  <Template>Normal.dotm</Template>
  <TotalTime>4</TotalTime>
  <Pages>5</Pages>
  <Words>2017</Words>
  <Characters>11500</Characters>
  <Application>Microsoft Office Word</Application>
  <DocSecurity>0</DocSecurity>
  <Lines>95</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dc:creator>
  <cp:keywords/>
  <dc:description/>
  <cp:lastModifiedBy>Eugen V Domanskyi</cp:lastModifiedBy>
  <cp:revision>16</cp:revision>
  <cp:lastPrinted>2019-04-12T05:22:00Z</cp:lastPrinted>
  <dcterms:created xsi:type="dcterms:W3CDTF">2023-04-13T08:26:00Z</dcterms:created>
  <dcterms:modified xsi:type="dcterms:W3CDTF">2023-04-14T14:10:00Z</dcterms:modified>
</cp:coreProperties>
</file>